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911</w:t>
      </w:r>
    </w:p>
    <w:p>
      <w:r>
        <w:rPr>
          <w:b/>
        </w:rPr>
        <w:t xml:space="preserve">Datum: </w:t>
      </w:r>
      <w:r>
        <w:t>1902-03-20</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Magnus Höjer (–, man)</w:t>
      </w:r>
    </w:p>
    <w:p>
      <w:r>
        <w:rPr>
          <w:b w:val="0"/>
        </w:rPr>
        <w:t>Herr talman, mine herrar! En af de värsta pröfningar, som en riksdagsman i Andra Kammaren kan blifva utsatt för, är, synes det mig — efter en erfarenhet, som jag haft i 12 år — att någorlunda kunna tillfredsställa lagutskottet. Ty kommer en riksdagsman och väcker en motion, som i princip har någon större innebörd, då makar det höglofliga lagutskottet från sig med båda händerna och säger: »det är alldeles för mycket, det enda rationella är att beträda 'de partiella reformernas väg och att sålunda behandla en mindre fristående fråga». Beträder jag åter verkligen »de partiella reformernas väg» genom att väcka ett mindre förslag, som icke eger något oafvisligt samband med en annan fråga, säger lagutskottet genast: »det är alldeles för litet, den frågan måste ses i samband med flera andra frågor». I förevarande fall får man kanske taga hela giftermålsbalken.</w:t>
        <w:br/>
        <w:br/>
        <w:t>Den ärade ledamoten af lagutskottet anförde såsom skäl mot bifall till motionen, att den föreliggande frågan i sjelfva verket icke hade någon praktisk betydelse, och han lät oss förstå, att åtminstone, enligt hans enfarenhet, ej något enda fall förekommit, som kunde inordnas inom den föreliggande motionens räckvidd. Jag ber deremot att, i likhet med den högt ärade reservanten, som nyss hade ordet, få säga, att frågan må synas huru obetydlig som helst, så förefinnes alltid ett behof af ändring uti nu föreliggande lagstadgande, då lagen med sin bokstaf åsidosätter en allmänt mensklig rättsgrundsats. Det är, så vidt jag förstår, fallet med 15 kap. 2 8 giftermålsbalken enligt dess nuvarande lydelse. För öfrigt undrar jag, om den ärade lagutskottsledamoten har rätt i sin förmodan, att denna lagparagraf med sin nuvarande lydelse skulle vara utan någon egentlig praktisk betydelse. Jag tror tvärtom. Jag vill supponera ett särskildt fall, som jag vet haft sin motsvarighet i verkligheten och som kanske en och annan af de härvarande riksdagsmännen äfven har reda på. Man tänke sig, att två makar blifvit dömda till skilnad »till säng och säte» och att båda, enligt domstolens uppfattning, till oenigheten inom äktenskapet varit lika vållande. När</w:t>
        <w:br/>
        <w:br/>
        <w:t xml:space="preserve">det då blir fråga om hvilken som skall taga hand om barnen, Om ändring kan domstolen vara af den åsigten, att båda makarne dertill äro af 15 kap. 2 $ »lika fallne». Om nu i detta fall man tänker sig, att makarne i giftern 8 äktenskapet endast hafva </w:t>
      </w:r>
      <w:r>
        <w:rPr>
          <w:b/>
        </w:rPr>
        <w:t>flickor²</w:t>
      </w:r>
      <w:r>
        <w:rPr>
          <w:b w:val="0"/>
        </w:rPr>
        <w:t xml:space="preserve">, då skall, enligt den paragrafens kn nuvarande lydelse, dessa </w:t>
      </w:r>
      <w:r>
        <w:rPr>
          <w:b/>
        </w:rPr>
        <w:t>flickors²</w:t>
      </w:r>
      <w:r>
        <w:rPr>
          <w:b w:val="0"/>
        </w:rPr>
        <w:t xml:space="preserve"> uppfostran, hvilken modern synes (Forts. mig vara den närmaste att taga om hand, kastas på fadern.</w:t>
        <w:br/>
        <w:br/>
        <w:t>Denne kan ju kanske vara »fallen» till att uppfostra gossar, utan</w:t>
        <w:br/>
        <w:br/>
        <w:t xml:space="preserve">att derför vara lämplig att uppfostra </w:t>
      </w:r>
      <w:r>
        <w:rPr>
          <w:b/>
        </w:rPr>
        <w:t>flickor²</w:t>
      </w:r>
      <w:r>
        <w:rPr>
          <w:b w:val="0"/>
        </w:rPr>
        <w:t>. För öfrigt synes</w:t>
        <w:br/>
        <w:br/>
        <w:t>det mig vara rent af upprörande, att, på grund af lagens bokstat,</w:t>
        <w:br/>
        <w:br/>
        <w:t>barnen skola med våld ryckas från modern, som till dem dock</w:t>
        <w:br/>
        <w:br/>
        <w:t>borde hafva någon rätt. Det är också det, enligt min tanke, upp-</w:t>
        <w:br/>
        <w:br/>
        <w:t>rörande i lagens innehåll, som bestämt mig för att gifva mitt</w:t>
        <w:br/>
        <w:br/>
        <w:t>understöd åt den ärade motionärens förslag och reservanternas hemställan.</w:t>
      </w:r>
    </w:p>
    <w:p>
      <w:pPr>
        <w:pStyle w:val="Heading2"/>
      </w:pPr>
      <w:r>
        <w:t>2. Otto Redelius (–, man)</w:t>
      </w:r>
    </w:p>
    <w:p>
      <w:r>
        <w:rPr>
          <w:b w:val="0"/>
        </w:rPr>
        <w:t>Jag instämmer med herr Lindhagen deri, att det skall åligga domaren att pröfva saken och att en god domare många gånger kan vara bättre än en dålig lag. Jag går således ut från det antagandet, att en sådan pröfning göres, ty jag kan icke tänka mig, att domaren skulle vara så pligtförgäten, att han försummade den. Finner han då, att båda makarne varit lika vållande, skall mannen ha rätt till barnen.</w:t>
        <w:br/>
        <w:br/>
        <w:t xml:space="preserve">Det af herr Höjer omnämnda fallet tror jag icke alls har någon betydelse i den rigtning, som han förmenade. Ty om ett sådant fall förekommer, att makar, mellan hvilka skall dömas till skilnad, icke hafva andra barn än </w:t>
      </w:r>
      <w:r>
        <w:rPr>
          <w:b/>
        </w:rPr>
        <w:t>flickor²</w:t>
      </w:r>
      <w:r>
        <w:rPr>
          <w:b w:val="0"/>
        </w:rPr>
        <w:t xml:space="preserve">, så ligger det väl mycket nära till hands för domaren att pröfva </w:t>
      </w:r>
      <w:r>
        <w:rPr>
          <w:b/>
        </w:rPr>
        <w:t>hustrun²</w:t>
      </w:r>
      <w:r>
        <w:rPr>
          <w:b w:val="0"/>
        </w:rPr>
        <w:t xml:space="preserve"> vara lämpligare att vårda sig om </w:t>
      </w:r>
      <w:r>
        <w:rPr>
          <w:b/>
        </w:rPr>
        <w:t>flickorna²</w:t>
      </w:r>
      <w:r>
        <w:rPr>
          <w:b w:val="0"/>
        </w:rPr>
        <w:t xml:space="preserve"> än mannen. Likaså tror jag, att det ofta icke behöfver råda tvifvel derom, att domaren kommer att anse mannen vara lämpligast att taga vård om gossarne, der sådana finnas. I dessa och många andra fall, som man kan tänka sig, om man än icke känner något liknande från det verkliga lifvet, kan jag icke förstå annat, än att domaren pröfvar efter omständigheterna; och då är ju den lag, som finnes, tillfredsställande.</w:t>
        <w:br/>
        <w:br/>
        <w:t>Yttrandet, att nu gällande bestämmelse skulle innebära något upprörande, måste jag protestera emot. Jag kan icke se, att det inträffade något upprörande i annat fall, än att domaren tillerkände den minst lämplige, eller den, som enligt allas mening, hvilka kände personen i fråga, vore högst olämplig, rätten att taga vård om barnen. Detta kunde vara upprörande. Men att något upprörande skall ligga deri, att, då alla omständigheter i öfrigt äro lika, mannen erhåller ifrågavarande rätt, kan jag icke förstå.</w:t>
        <w:br/>
        <w:br/>
        <w:t>Emellertid är det barnens intresse, som vi i första rummet få se på, ty de andra intressena måste vi anse vara, åtminstone till största delen, borta. Vill man der vid lag taga hänsyn till</w:t>
        <w:br/>
        <w:br/>
        <w:t xml:space="preserve">$ vara upprörande, så bör man beakta den kärlek, som är starkare och mer uppoffrande och kanske bättre än något annat här på jorden, nemligen föräldrakärleken. Om denna vågar jag påstå, att, i allmänhet taget, mannens kärlek till barnen icke är mindre än qvinnans; och anser man, att det sker qvinnan orätt, då barnen tagas från </w:t>
      </w:r>
      <w:r>
        <w:rPr>
          <w:b/>
        </w:rPr>
        <w:t>henne²</w:t>
      </w:r>
      <w:r>
        <w:rPr>
          <w:b w:val="0"/>
        </w:rPr>
        <w:t>, så måste man anse, att det i motsvarande fall sker mannen orätt.</w:t>
        <w:br/>
        <w:br/>
        <w:t>Men derom är ju i sjelfva verket nu icke fråga. Hufvudsaken är, att domaren i hvarje fall skall pröfva efter omständigheterna. Dertill har han både skyldighet och rättighet, och, enligt min öfvertygelse, gör han det också. Jag kan derför icke finna, att det föreligger något behof af lagändring i detta afseende, utan vidhåller mitt yrkande.</w:t>
      </w:r>
    </w:p>
    <w:p>
      <w:pPr>
        <w:pStyle w:val="Heading2"/>
      </w:pPr>
      <w:r>
        <w:t>3. Karl Staaff (Liberala samlingspartiet, man)</w:t>
      </w:r>
    </w:p>
    <w:p>
      <w:r>
        <w:rPr>
          <w:b w:val="0"/>
        </w:rPr>
        <w:t xml:space="preserve">Jag har, herr talman, en mot den föregående ärade talarens alldeles motsatt uppfattning. Genom den erfarenhet, som jag vunnit genom att se in i ett mycket stort antal af de sorgliga fall, hvarom det här är fråga, har jag kommit till den öfvertygelsen, att han har orätt först och främst deri, att han säger, att faderskärleken i genomsnitt är lika stark som moderskärleken. Det är för visso icke på detta sätt, utan det är så, att </w:t>
      </w:r>
      <w:r>
        <w:rPr>
          <w:b/>
        </w:rPr>
        <w:t>moderns²</w:t>
      </w:r>
      <w:r>
        <w:rPr>
          <w:b w:val="0"/>
        </w:rPr>
        <w:t xml:space="preserve"> kärlek till barnet är så stark, att </w:t>
      </w:r>
      <w:r>
        <w:rPr>
          <w:b/>
        </w:rPr>
        <w:t>hon²</w:t>
      </w:r>
      <w:r>
        <w:rPr>
          <w:b w:val="0"/>
        </w:rPr>
        <w:t xml:space="preserve">, om det gäller, hellre uppoffrar allt annat för att kunna kämpa till det yttersta om rätten att behålla barnet. Jag har sett detta i så många fall, att jag på grund af en säker erfarenhet vågar påstå det. Det är då också tydligt, att det stadgande, hvarom här är fråga, ingalunda är så oväsentligt och obetydligt, som man velat göra gällande. Om man endast ser på de fall, der domstolen verkligen fått fritt afgöra saken och tilldömt fadern barnen på den grund, att båda makarne ansetts lika vållande och lika fallna att taga vård om barnen, så finner man visserligen, att dessa fall äro ganska få. Men om man har en sådan erfarenhet, att man kan se in i hvad som ligger bakom dessa skilsmessor, så te sig förhållandena helt annorlunda. Ty det är så, att om sedan förhållandena i ett äktenskap blifvit så olyckliga, att det blifvit fråga om skilsmessa, samt </w:t>
      </w:r>
      <w:r>
        <w:rPr>
          <w:b/>
        </w:rPr>
        <w:t>hustrun²</w:t>
      </w:r>
      <w:r>
        <w:rPr>
          <w:b w:val="0"/>
        </w:rPr>
        <w:t xml:space="preserve"> derför vändt sig till en jurist med förfrågan om de legala formerna och möjligheterna härför — </w:t>
      </w:r>
      <w:r>
        <w:rPr>
          <w:b/>
        </w:rPr>
        <w:t>hon²</w:t>
      </w:r>
      <w:r>
        <w:rPr>
          <w:b w:val="0"/>
        </w:rPr>
        <w:t xml:space="preserve"> då får höra, att, derest frågan går till domstol och domstolen skall träffa afgörande angående barnens vård, samt bevisningen icke är afgjord till </w:t>
      </w:r>
      <w:r>
        <w:rPr>
          <w:b/>
        </w:rPr>
        <w:t>hennes²</w:t>
      </w:r>
      <w:r>
        <w:rPr>
          <w:b w:val="0"/>
        </w:rPr>
        <w:t xml:space="preserve"> fördel, den möjligheten föreligger, att barnen anförtros åt mannen, det är så, att det kan hända, att </w:t>
      </w:r>
      <w:r>
        <w:rPr>
          <w:b/>
        </w:rPr>
        <w:t>hon²</w:t>
      </w:r>
      <w:r>
        <w:rPr>
          <w:b w:val="0"/>
        </w:rPr>
        <w:t xml:space="preserve"> då offrar uppenbara ekonomiska fördelar, som annars borde hafva tillkommit </w:t>
      </w:r>
      <w:r>
        <w:rPr>
          <w:b/>
        </w:rPr>
        <w:t>henne²</w:t>
      </w:r>
      <w:r>
        <w:rPr>
          <w:b w:val="0"/>
        </w:rPr>
        <w:t xml:space="preserve"> och hvilka mannen nu obehörigen får tillskansa sig, och detta just till följd af lagens orättvisa i nu förevarande hänseende. Sådant har inträffat i ofantligt många fall.</w:t>
        <w:br/>
        <w:br/>
        <w:t>Herr Redelius' opposition är således, herr talman, kortsynt Om ändring och beror på oerfarenhet. Jag yrkar derför bifall till motionen. af 15 kap. 2$ iftermåls-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911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