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927</w:t>
      </w:r>
    </w:p>
    <w:p>
      <w:r>
        <w:rPr>
          <w:b/>
        </w:rPr>
        <w:t xml:space="preserve">Datum: </w:t>
      </w:r>
      <w:r>
        <w:t>1903-02-14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Lars Brock (Utan partibeteckning, man)</w:t>
      </w:r>
    </w:p>
    <w:p>
      <w:r>
        <w:rPr>
          <w:b w:val="0"/>
        </w:rPr>
        <w:t xml:space="preserve">Herr talman! Lagutskottet har såsom hufvudsaklig grund för stadgande om rätt för oäkta barn att taga arf efter sin </w:t>
      </w:r>
      <w:r>
        <w:rPr>
          <w:b/>
        </w:rPr>
        <w:t>moder²</w:t>
      </w:r>
      <w:r>
        <w:rPr>
          <w:b w:val="0"/>
        </w:rPr>
        <w:t xml:space="preserve"> framhållit det nära personliga förhållande, i hvilket det oäkta barnet i regel står till modern. Detta skäl är nog fullt riktigt och tillräckligt, men samma eller annat lika allmängiltigt skäl för ett lagstadgande om rätt för oäkta barn att taga arf jämväl efter mödernefränder synas mig ej kunna anföras. Jag vill härjämte framhålla en annan omständighet, som synes mig vara af stor vikt. Det kan nämligen inträffa, att en arflåtare icke haft kännedom om ett sådant oäkta barns tillvaro och att efter arflåtarens död ett sådant barn anmäler sig och inlåter sig i tvist med arf-</w:t>
        <w:br/>
        <w:br/>
        <w:t xml:space="preserve">låtarens öfriga närmaste arfvingar, hvilka af honom alltid betraktats Angående såsom hans enda och rätta arfvingar. Jag tror, att man i detta fall oäkta barns bör närmast fästa sig vid hvad som kan anses hafva var it arfåtarens (Forts) verkliga vilja och att, om det funnes något lagstadgande af ifrågavarande innehåll, detta ej skulle kunna anses i själfva verket motsvara eller vara ett verkligt uttryck för arflåtarens vilja, åtminstone ej 1 allmänhet. För min del känner jag flera fall, då personer af oäkta börd, i tro att de varit arfsberättigade, anmält sig såsom arftagare efter mödernefränder, och hafva de, åtminstone i ett par af dessa fall, efter hvad de själfva uppgifvit, varit för arflåtaren fullkomligt okända. Då det för öfrigt står en arflåtare fritt att genom en testamentarisk disposition gynna ett sådant barn, hvarom nu är fråga, så anser jag, att ett lagstadgande därom, att ett oäkta barn skall ärfva jämväl mödernefränder, bör anses icke allenast onyttigt, utan rent utaf skadligt. Jag får således yrka bifall till lagutskottets förslag, dock endast för såvidt det gäller rätt för oäkta barn att taga arf efter </w:t>
      </w:r>
      <w:r>
        <w:rPr>
          <w:b/>
        </w:rPr>
        <w:t>moder²</w:t>
      </w:r>
      <w:r>
        <w:rPr>
          <w:b w:val="0"/>
        </w:rPr>
        <w:t>, och hemställer jag därför, att de båda sista orden uti klämmen måtte bortfalla.</w:t>
      </w:r>
    </w:p>
    <w:p>
      <w:pPr>
        <w:pStyle w:val="Heading2"/>
      </w:pPr>
      <w:r>
        <w:t>2. Robert Johansson Dahr (Liberala samlingspartiet, man)</w:t>
      </w:r>
    </w:p>
    <w:p>
      <w:r>
        <w:rPr>
          <w:b w:val="0"/>
        </w:rPr>
        <w:t xml:space="preserve">Det är en särskild omständighet uti det nu föreliggande utskottsbetänkandet, som jag anser icke böra oanmärkt passera vid detta tillfälle. Vid genomläsandet af den utaf utskottet anförda motiveringen finner man nämligen, att där alltjämt talas om oäkta barn i allmänhet utan att något försök göres att skilja mellan olika slag af sådana barn. Utskottet har citerat 1900 års lagutskotts uttalande i samma fråga, 1 hvilket utskottsbetänkande de invändningar gendrifvas, hvilka kunna anföras eller hafva anförts mot oäkta barns arfsrätt, men öfverallt är det där fråga endast om ett slag af oäkta barn eller om oäkta barn i allmänhet. Men sedan utskottet sålunda på ett enligt min tanke ganska lyckligt sätt motiverat den lagförändring, som det synes vilja föreslå, finner man uti slutet af betänkandet uti den af utskottet gjorda hemställan, att det icke förordar arfsrätt för de oäkta barnen i allmänhet, utan endast för ett visst slag af dem, nämligen för sådana, som icke äro aflade under </w:t>
      </w:r>
      <w:r>
        <w:rPr>
          <w:b/>
        </w:rPr>
        <w:t>moderns²</w:t>
      </w:r>
      <w:r>
        <w:rPr>
          <w:b w:val="0"/>
        </w:rPr>
        <w:t xml:space="preserve"> äktenskap eller i förbudna led. Motiveringen gäller således alla oäkta barn, men hemställan endast en del af dem.</w:t>
        <w:br/>
        <w:br/>
        <w:t>Här föreligger tydligen en inkonsekvens, och jag har vid genomläsandet af betänkandet mycket undrat öfver. hvad som kunnat föranleda utskottet att göra en hemställan, som icke står 1 öfverensstämmelse med motiveringen. Skälet därtill kan icke gärna vara det, att motionären icke föreslagit arfsrätt för sådana barn. Detta har motionären visserligen icke gjort, men han har icke heller föreslagit, att oäkta barn skulle få arfsrätt efter fader eller fädernefränder. Därvidlag har emellertid utskottet, då motiveringen syntes leda därtill, att de oäkta barnen rättvisligen borde tillerkännas arfsrätt efter äfven fader och fädernefränder, särskildt angifvit. hvarför utskottet ej vill tillstyrka en så långt gående lagändring. Men när å andra sidan motiveringen följdriktigt leder där till, att arfsrätt efter</w:t>
        <w:br/>
        <w:br/>
      </w:r>
      <w:r>
        <w:rPr>
          <w:b/>
        </w:rPr>
        <w:t>moder²</w:t>
      </w:r>
      <w:r>
        <w:rPr>
          <w:b w:val="0"/>
        </w:rPr>
        <w:t xml:space="preserve"> och mödernefränder borde tillerkännas alla oäkta barn utan undantag, så har utskottet i sin hemställan uteslutit vissa sådana barn utan att för en sådan åtgärd anföra något skäl. Hvad är nu anledningen därtill? Icke kan väl skälet vara det, att uti 1866 års arfsförordning rörande oäkta barn finnes införd en sådan bestämmelse, som utskottet nu föreslår. Om en sådan bestämmelse är otidsenlig och icke rättvis, hvilket utskottet i motiveringen synes erkänna, så bör den väl icke bibehållas endast därför, att den en gång kommit till. Icke heller kan jag tänka mig, att utskottet velat försvara den gjorda uteslutningen af vissa oäkta barn med den motivering, som 1865 och 1866 anfördes för samma åtgärd och af 1892 års lagutskott upprepades, ty den motiveringen är verkligen så svag, att jag håller detta års lagutskott räkning för att det icke upprepat densamma.</w:t>
        <w:br/>
        <w:br/>
        <w:t xml:space="preserve">Man kan således med skäl upprepa frågan: hvad har föranledt utskottet att göra ett sådant afsteg från den princip, som i motiveringen häfdats? Måhända har man ansett, att det gjorda undantaget vore jämförelsevis oviktigt. Något sådant synes framgå af en antydan af motionären i den motion, som han till 1900 års Riksdag afgaf, nämligen att, då frågan om arfsrätt för oäkta barn, födda af modern under </w:t>
      </w:r>
      <w:r>
        <w:rPr>
          <w:b/>
        </w:rPr>
        <w:t>hennes²</w:t>
      </w:r>
      <w:r>
        <w:rPr>
          <w:b w:val="0"/>
        </w:rPr>
        <w:t xml:space="preserve"> äktenskap eller aflade i förbudna led, icke vore af så stor vikt, så kunde man lämna den ur räkningen och låta nöja sig med det undantag, som 1865 och 1866 infördes i arfsförfattningarna rörande sådana oäkta barn. Men oafsedt att ett sådant undantag innebär ett afsteg från den princip, som lagförändringen i öfrigt afser att häfda, och hvilket afsteg i och för sig måste anses betänkligt, så kan man ej bortse från, att om också dylika undantag icke så ofta skulle förekomma, så blifva de så mycket mera upprörande, när de inträffa. Ty upprörande måste det blifva, att sedan alla barn i öfrigt — äkta såväl som oäkta — erhållit arfsrätt, så skola sådana stackars barn, som äro aflade under </w:t>
      </w:r>
      <w:r>
        <w:rPr>
          <w:b/>
        </w:rPr>
        <w:t>moderns²</w:t>
      </w:r>
      <w:r>
        <w:rPr>
          <w:b w:val="0"/>
        </w:rPr>
        <w:t xml:space="preserve"> äktenskap eller i förbudna led, fortfarande i motsats mot alla andra sakna arfsrätt. Mig synes, som om denna inkonsekvens hade bort undvikas.</w:t>
        <w:br/>
        <w:br/>
        <w:t>Det finnes äfven ett annat skäl, som möjligen kan hafva varit bestämmande för utskottet. Kanske har man inom detsamma ansett, att man borde göra ändringen så liten som möjligt för att väcka så litet opposition som möjligt. Som bekant, har Första Kammaren alltid, när den nu föreslagna reformen varit å bane, gjort ett ihärdigt motstånd. Om denna synpunkt varit bestämmande för utskottet, och dess hemställan alltså innebär något af kompromiss, så har denna kompromiss visat sig icke ens hålla inom utskottet, ty såsom herrarne finna, hafva ett par af utskottsledamöterna från Första Kammaren reserverat sig. Fastän utskottet icke velat eller vågat begära allt hvad det enligt motiveringen borde hafva begärt, hafva dock reservanterna från Första Kammaren ansett, att utskottet begärt för mycket. Under sådana förhållanden har jag icke velat låta detta tillfälle gå förbi utan att, på samma gång jag påpekat den inkonsekvens, som utskottets betänkande innehåller, i det att motiveringen och yrkandet icke öfverensstämma med hvarandra, i denna</w:t>
        <w:br/>
        <w:br/>
        <w:t xml:space="preserve">kammare åtminstone en röst måtte höjas för den motsatta åskådningen, att utskottet icke begärt för mycket, utan i stället för litet. Ty det måste man ju erkänna, att om oäkta barn i allmänhet tillerkännas rätt att ärfva </w:t>
      </w:r>
      <w:r>
        <w:rPr>
          <w:b/>
        </w:rPr>
        <w:t>moder²</w:t>
      </w:r>
      <w:r>
        <w:rPr>
          <w:b w:val="0"/>
        </w:rPr>
        <w:t xml:space="preserve"> och mödernefränder, så finnes det icke något rimligt skäl, hvarför ett sådant stackars oäkta barn, som råkat födas under </w:t>
      </w:r>
      <w:r>
        <w:rPr>
          <w:b/>
        </w:rPr>
        <w:t>moderns²</w:t>
      </w:r>
      <w:r>
        <w:rPr>
          <w:b w:val="0"/>
        </w:rPr>
        <w:t xml:space="preserve"> äktenskap eller i förbudna led, ensamt skall sakna sådan arfsrätt och sålunda, i motsats mot alla andra oäkta barn, straffas för den förseelse, som dess föräldrar begått.</w:t>
        <w:br/>
        <w:br/>
        <w:t>Af hvad jag nu yttrat framgår ju, att jag ingalunda kan vilja yrka afslag å utskottets hemställan. Och då ett yrkande om återremiss till utskottet icke under nuvarande förhållanden kan leda till något resultat, så vill jag, herr talman, utan att framställa något yrkande, låta vid detta uttalande bero.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