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25</w:t>
      </w:r>
    </w:p>
    <w:p>
      <w:r>
        <w:rPr>
          <w:b/>
        </w:rPr>
        <w:t xml:space="preserve">Datum: </w:t>
      </w:r>
      <w:r>
        <w:t>1903-02-14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Eduard Ljungberg (Första kammarens protektionistiska parti, man)</w:t>
      </w:r>
    </w:p>
    <w:p>
      <w:r>
        <w:rPr>
          <w:b w:val="0"/>
        </w:rPr>
        <w:t>Det är en ganska ansenlig tillökning i konsulsstaten, som i år föreslagits; den uppgår till mer än 100,000 kronor. Och om man också icke har något emot detta anslag i sig själft, emedan det har till ändamål att aflyfta en dryg börda från sjöfarten, torde man likväl kunna hysa betänkligheter i afseende å sättet för denna förändrings vidtagande. Detta beslöts nämligen af Kungl. Maj:t den 10 oktober förlidet år utan Riksdagens hörande, och det hade varit önskvärdt, att statsutskottet begagnat detta tillfälle, då en så stor utgift skall beslutas, att framhålla det billiga och man kan säga nödvändiga uti att, när förändringar på det unionella området ifrågasättas, de måtte underkastas Riksdagens pröfning och godkännande. Norska stortinget har redan beslutit i denna fråga, men hos oss är det blott Kungl. Maj:t, som beslutat konsulatafgifternas af-</w:t>
        <w:br/>
        <w:br/>
        <w:t xml:space="preserve">skaffande, vi få visserligen votera om anslaget, men icke pröfva det Angående principiella i frågan. tredje hufvud- 2 SS . z o titelns ordi- Går man vidare i denna budget, stöter man på ett anslag af, rie anslag. 20,000 kronor till hemliga utgifter. Som man vet, hafva norrmännen — (Forts. för några år sedan undandragit sig att bidraga till detta anslag på den grund att de icke hade tillfälle att kontrollera det, ehuru det var dem mycket väl bekant, att Kungl. Maj:t själf utöfvade kontrollen. Det synes mig kunna vara på tiden, att man erbjöde dem den revision, som de säga sig åstunda; det skulle kanske icke vara så angenämt för dem att tillsätta en revisor att jämte Konungen granska dessa utgifter. Men hade de fått ett sådant erbjudande, finge de betala, och afsloge de, måste de söka sig en annan förevändning. Innan jag går ifrån den konsulära budgeten, skulle jag vilja fästa uppmärksamheten på en sak, som är af ofantlig vikt, men som icke blifvit såsom sådan behandlad af den nya unionskommittén. Som herrarne veta, hade den till uppgift två saker, den ena var det yttre konsulatväsendet, den andra, om jag så får säga, det inre, d. v. 8. tillvaratagandet af svenskars och norrmäns intressen i hvartdera landet. Den senare frågan blef tämligen lättvindigt behandlad; den kom i skuggan af den andra stora frågan, och kommittén stannade vid det resultatet, att det var just ingenting att göra. </w:t>
      </w:r>
      <w:r>
        <w:rPr>
          <w:b/>
        </w:rPr>
        <w:t>Hon²</w:t>
      </w:r>
      <w:r>
        <w:rPr>
          <w:b w:val="0"/>
        </w:rPr>
        <w:t xml:space="preserve"> inskränkte sig till att föreslå, att förhandlingar skulle öppnas mellan myndigheterna i Sverige och Norge angående understöd åt sjömän. Men saken är mycket mera omfattande. Det har länge anförts stora och bittra klagomål öfver det sätt, hvarpå svenskar behandlas i Norge. Norrmännen går det just ingen nöd på här i landet; först och främst äro vi, som bekant, ett beskedligt folk, som icke gärna göra någon främling något för när, och för det andra hafva de sin statsrådsafdelning här att gå till. Annat är förhållandet i Norge. Våra myndigheter, som blifvit tillfrågade, hafva allmänneligen sagt, att de icke funnit några olägenheter af det nuvarande tillståndet och hafva därför icke funnit något vara att göra. Jag har emellertid fått mig meddelade åtskilliga omständigheter och erfarenheter, som visa, att man icke bör taga saken alldeles så lätt. En svensk arbetare t. ex. klagar, att då svenska arbetare i Norge anträffas ensamme, öfverfallas och misshandlas de, utan att våldsverkaren straffas. "Tolf jordbruksarbetare från Skåne, som voro omtyckta af sina husbönder, kunde ej uthärda de skällsord och otidigheter jämte hugg och slag, hvarmed de ständigt undfägnades af de norska arbetarne, utan måste fara hem. »Ingen i Sverige», sade de, »kan tänka sig, hvilket vildt, fanatiskt hat till svenskarne, som nu gripit den norska landtbefolkningen.» Sådana berättelser förekomma ganska många. Några svenska arbetare hade under löfte om god betalning lockats till Norge af ett par entreprenadfirmor; då de kommo fram, erbjödos de emellertid så dåliga vilkor, att de ville gå sin väg, men då blefvo de insatta i fängelse och fingo betala 40 kronor hvar, innan de släpptes ut, hvar-</w:t>
        <w:br/>
        <w:br/>
        <w:t>efter de affördes till gränsen. De flesta af oss torde minnas en tilldragelse, som, vid jämförelse med förhållandena i Norge, är karaktäristisk för vårt humana sätt att umgås med främmande nationer. Vid 1897 års utställning kommo nämligen ett par folktåg från Norge hit till Stockholm; de hyllades med musik och tal och bereddes allt möjligt tillfälle till billiga logis och lätthet att bese stadens sevärdheter. Vid samma tid blefvo i Norge några svenska tegelbruksarbetare kullkastade, slagna och trampade på brösten och måste för att få behålla lif och lemmar begifva sig därifrån. En korrespondent från Norge till en svensk tidning säger, att »i intet land i världen stå svenska arbetare så skyddslösa som i det s. k. broderlandet; här finnas hvarken sändebud, konsuler eller präster, som kunna taga sig af deras sak&gt;. Jag anför detta därför att kommittén förklarat, att man icke funnit några olägenheter af det närvarande tillståndet och därför icke velat ifrågasätta någon anordning för tillvaratagande af svenskars och norrmäns ömsesidiga intressen. Det bör då icke vara utan vikt, att upplysningar om sådana olägenheter komma fram, om möj ligtvis därigenom någon förbättring i tillståndet skulle kunna vinnas. Jag skulle för min del icke vilja förorda anställande af svenska och norska konsuler i de särskilda länderna, först och främst därför att det blefve en dyrbar affär och för det andra, emedan det blefve blott i sjöstäderna konsuler komme att finnas. Men man har ett annat sätt, nämligen att föreskrifter utfärdades, som ålade de administrativa myndigheterna, såsom länsstyrelser, fogdar och länsmän, att taga sig an de förfördelade och undersöka behörigheten af deras klagomål. Detta tror jag blefve det billigaste och kanske äfven det ändamålsenligaste sättet att hjälpa dem.</w:t>
        <w:br/>
        <w:br/>
        <w:t xml:space="preserve">Det talas mycket om konsuler i utlandet, men det är icke nog med att hafva konsuler, de måste äfven göra sin plikt. I detta afseende hafva tid efter annan bittra klagomål öfver ogenhet och liknöjdhet anförts mot en norskfödd konsul i Hamburg, som särskildt utmärkt sig vid ett tillfälle, som jag icke behöfver närmare relatera, då en ung ärbar </w:t>
      </w:r>
      <w:r>
        <w:rPr>
          <w:b/>
        </w:rPr>
        <w:t>kvinna¹</w:t>
      </w:r>
      <w:r>
        <w:rPr>
          <w:b w:val="0"/>
        </w:rPr>
        <w:t xml:space="preserve"> blef häktad och fick sitta i polisarresten 17 timmar utan både föda och vatten. När </w:t>
      </w:r>
      <w:r>
        <w:rPr>
          <w:b/>
        </w:rPr>
        <w:t>hon²</w:t>
      </w:r>
      <w:r>
        <w:rPr>
          <w:b w:val="0"/>
        </w:rPr>
        <w:t xml:space="preserve"> blef utsläppt, skyndade </w:t>
      </w:r>
      <w:r>
        <w:rPr>
          <w:b/>
        </w:rPr>
        <w:t>hon²</w:t>
      </w:r>
      <w:r>
        <w:rPr>
          <w:b w:val="0"/>
        </w:rPr>
        <w:t xml:space="preserve"> till konsuln, där </w:t>
      </w:r>
      <w:r>
        <w:rPr>
          <w:b/>
        </w:rPr>
        <w:t>hon²</w:t>
      </w:r>
      <w:r>
        <w:rPr>
          <w:b w:val="0"/>
        </w:rPr>
        <w:t xml:space="preserve"> trodde sig få hjälp, men där </w:t>
      </w:r>
      <w:r>
        <w:rPr>
          <w:b/>
        </w:rPr>
        <w:t>hon²</w:t>
      </w:r>
      <w:r>
        <w:rPr>
          <w:b w:val="0"/>
        </w:rPr>
        <w:t xml:space="preserve"> i stället blef utsatt för nya förödmjukelser. Det ropades åt </w:t>
      </w:r>
      <w:r>
        <w:rPr>
          <w:b/>
        </w:rPr>
        <w:t>henne²</w:t>
      </w:r>
      <w:r>
        <w:rPr>
          <w:b w:val="0"/>
        </w:rPr>
        <w:t xml:space="preserve">, när </w:t>
      </w:r>
      <w:r>
        <w:rPr>
          <w:b/>
        </w:rPr>
        <w:t>hon²</w:t>
      </w:r>
      <w:r>
        <w:rPr>
          <w:b w:val="0"/>
        </w:rPr>
        <w:t xml:space="preserve"> gråtfärdig ville aflägsna sig: stanna! ni stannar! »vi kunde ställa till mycket värre för er!» o. d. Följden var, att </w:t>
      </w:r>
      <w:r>
        <w:rPr>
          <w:b/>
        </w:rPr>
        <w:t>hon²</w:t>
      </w:r>
      <w:r>
        <w:rPr>
          <w:b w:val="0"/>
        </w:rPr>
        <w:t xml:space="preserve"> ingaf klagomål till utrikesministern här; detsamma gjorde äfven tyska </w:t>
      </w:r>
      <w:r>
        <w:rPr>
          <w:b/>
        </w:rPr>
        <w:t>fruntimmer²</w:t>
      </w:r>
      <w:r>
        <w:rPr>
          <w:b w:val="0"/>
        </w:rPr>
        <w:t>, och det hölls ett indignationsmöte i Hamburg, hvarvid man uttryckte sin förtrytelse och förbittring öfver både polis och konsul. Vid allt detta synes vår utrikesminister icke hafva vidtagit någon annan åtgärd än att infordra en intetsägande förklaring af konsuln, hvarefter denne, på grund af klagomål från en svensk skeppare, erinrades att iakttaga sina anslagna timmar. Det är något förunderligt med denna efterlåtenhet, när man jämför den med den stränghet och skyndsamhet, med</w:t>
        <w:br/>
        <w:br/>
        <w:t>hvilken utrikesministern bestraffar svenska ämbetsmäns förmenta förseelser, som gälla norrmän. Vi minnas, huru förhållandet var med generalkonsul Philipsson, som icke hade lämnat, såsom man ansåg, tillräckligt fullständiga upplysningar till en norsk agent, om hvilken han icke ens visste, att han var norrman, helst han framställt sina förfrågningar genom ett belgiskt konsulat. Och man vet äfven, huru grefve Taube, vår minister i Berlin, fick höra af vår utrikesminister, att han »bestämdt ogillade» hans beteende att vid ett högtidligt tillfälle uthänga en unionsmärkt norsk flagga på sitt hotell jämte den svenska, »ty», sade utrikesministern, »det skulle hafva varit en norsk ren flagga». Nu är likväl förhållandet, att själfva den norska flagglagen innehåller, att den nya flaggan »skall användas på handelsfartyg, när de i utländsk hamn önska erhålla beskydd och bistånd af gesandter och konsuler, äfvensom på norska statens byggnader». Men intetdera var här fallet, och det hade varit så mycket mera olämpligt och för Sverige obehagligt, om ministern i Berlin användt en ren flagga jämte den unionsmärkta, som det var vid ett tillfälle, då Öster- "rikes kejsare reste genom Berlin, och man vet, att kejsar Frans Josef håller mycket strängt på Österrike-Ungerns enhet inför utlandet, och detta särskildt hvad flaggan beträffar. Jag fruktar, att om han och hans svit fått se en ren flagga jämte en unionsmärkt, hade de fått sig ett godt skratt på vår unions bekostnad. Således var det kanske icke så klandervärdt hvad vår minister i Berlin gjorde eller låtit göra.</w:t>
        <w:br/>
        <w:br/>
        <w:t>Under en lång följd af år har nationen betraktat utrikesdepartementet såsom sitt egentliga, att icke säga enda, stöd mot angrepp från Norge och andra länder. Denna illusion har nu försvunnit; och om utrikesministern låter begagna sig, såsom förut vid ett tillfälle skett, till att i utlandet befrämja den norska separatismen eller om han låter det nya s. k. »departementet för utrikes ärenden» i Kristiania växa upp obehindradt, så att det till slut blir rivaliserande med vårt egentliga unionella utrikesdepartement och kanske intrigerande med främmande makter, då måste fosterlandsvännen fråga sig, om icke någon gräns kan sättas för detta slapphetssystem, och om icke ett departement, som så föga motsvarar sitt ändamål, borde undergå en reorganisation från ofvan och allt igenom?</w:t>
      </w:r>
    </w:p>
    <w:p>
      <w:pPr>
        <w:pStyle w:val="Heading2"/>
      </w:pPr>
      <w:r>
        <w:t>2. Alfred Lagerheim (–, man)</w:t>
      </w:r>
    </w:p>
    <w:p>
      <w:r>
        <w:rPr>
          <w:b w:val="0"/>
        </w:rPr>
        <w:t>I anledning af det anförande, kammaren nyss afhört, anhåller jag att vid ett par punkter uti detsamma, där sakförhållanden, som angå det departement jag har äran förestå, blifvit berörda, få göra vissa erinringar.</w:t>
        <w:br/>
        <w:br/>
        <w:t>Först och främst ber jag då att få lämna den upplysning, att det är så långt ifrån, att Kungl. Maj:t icke sökt Riksdagens medverkan i afseende å nedsättning af konsulatafgifterna, att tvärtom Riksdagen fattat sitt beslut därom med anledning af en kunglig proposition. Detta skedde, innan jag hade tillträdt min nuvarande befattning; men</w:t>
        <w:br/>
        <w:br/>
        <w:t>helt naturligt måste för mitt handlingssätt och mina råd till Konungen vara bestämmande, hvad Kungl. Maj:t föreslagit Riksdagen till antagande icke blott en, utan förnyade gånger. Det var tydligt, att beslutet från Riksdagens sida gick ut på att söka bereda vår sjöfartsnäring väsentliga lättnader och i hvarje fall den lättnad, som ett afskaftande af eller en betydligare reduktion i konsulatafgifterna kunde medföra.</w:t>
        <w:br/>
        <w:br/>
        <w:t>År efter år har sålunda Riksdagen beviljat ett anslag för att till rederierna återbetala en del af de afgifter, hvilka i utlandet blifvit för deras fartyg erlagda till konsulerna. Restitutionsbeloppet var begränsadt till 4/5 af afgifterna.</w:t>
        <w:br/>
        <w:br/>
        <w:t>Vid den undersökning, som jag ansåg mig böra företaga, visade det sig efter en ytterst sorgfällig utredning, att bibehållandet af den återstående femtedelen af afgiften skulle vålla högst betydliga olägenheter. Detta var äfven, såsom af de föreliggande handlingarna kan inhämtas, kommerskollegiets åsikt. Att sådant måste väsentligt inverka på Kungl. Maj:ts senaste beslut i frågan, var väl helt naturligt.</w:t>
        <w:br/>
        <w:br/>
        <w:t>Det framhölls af kollegium, huru ytterst tidsödande och besvärlig den kontroll varit, som måste utöfvas för restitutionen af de fyra femtedelarne. Då undersökningen vidare ådagalade, att man kunde företaga en reduktion af jämväl den återstående femtedelen, utan att statsverket betungades af ytterligare utgifter, hvilket också torde med full klarhet framgå af de handlingar, som funnits tillgängliga för statsutskottet och kamrarne, syntes mig icke längre böra förefinnas någon tvekan att tillråda afgifternas fullständiga afskaffande, och jag vill hoppas, att detta, i öfverensstämmelse med utskottets enhälliga tillstyrkan, äfven må blifva Riksdagens beslut.</w:t>
        <w:br/>
        <w:br/>
        <w:t xml:space="preserve">Den föregående talaren omtalade en anmärkning, som riktats mot generalkonsuln i Hamburg. Härmed förhåller det sig så, att ministern för utrikes ärendena visserligen icke inskränkt sig till att »infordra en intetsägande förklaring», utan han har sökt, så vidt möjligt, att sorgfälligt utreda sakförhållandet och de närmare omständigheter, hvilka hade föranledt de af talaren omförmälda klagomålen. Denna utredning ledde till det resultat, att — med undantag för några mera oviktiga punkter, som icke kunde fullt konstateras, enär påståenden stodo emot påståenden — jag för min del måste förklara, att generalkonsuln under för handen varande förhållanden ej kunde gå till väga på annat sätt än han gjorde. Han sökte förmå den omtalade personen — och han lofvade det äfven — att låta sig åtföljas af en konsulattjänsteman för att hos den myndighet, som förgått sig mot </w:t>
      </w:r>
      <w:r>
        <w:rPr>
          <w:b/>
        </w:rPr>
        <w:t>henne²</w:t>
      </w:r>
      <w:r>
        <w:rPr>
          <w:b w:val="0"/>
        </w:rPr>
        <w:t xml:space="preserve">, fordra och skaffa sig upprättelse. </w:t>
      </w:r>
      <w:r>
        <w:rPr>
          <w:b/>
        </w:rPr>
        <w:t>Hon²</w:t>
      </w:r>
      <w:r>
        <w:rPr>
          <w:b w:val="0"/>
        </w:rPr>
        <w:t xml:space="preserve"> föredrog emellertid i sista ögonblicket att icke göra det, utan vände sig i dess ställe till andra personer. Häraf föranleddes omständigheter, hvilka säkerligen för </w:t>
      </w:r>
      <w:r>
        <w:rPr>
          <w:b/>
        </w:rPr>
        <w:t>henne²</w:t>
      </w:r>
      <w:r>
        <w:rPr>
          <w:b w:val="0"/>
        </w:rPr>
        <w:t xml:space="preserve"> voro ganska pinsamma. Sådant kunde emellertid med all säkerhet hafva undvikits, om </w:t>
      </w:r>
      <w:r>
        <w:rPr>
          <w:b/>
        </w:rPr>
        <w:t>hon²</w:t>
      </w:r>
      <w:r>
        <w:rPr>
          <w:b w:val="0"/>
        </w:rPr>
        <w:t xml:space="preserve"> följt konsulns råd och sitt eget gifna</w:t>
        <w:br/>
        <w:br/>
        <w:t>löfte. Vidare inblandades i denna fråga, att en förening i Hamburg Angående inbjöd till det af den föregående talären omnämnda offentliga såmrede nfenåmanträdet. Man hade den taktlösheten uppfordra generalkonsuln att, ,;e anslag. tillstädeskomma, i uppenbar afsikt att låta honom personligen afhöra (Forts.) det klander, söm skulle mot Honom framställas. Att en de förenåde rikenas ämbetman icke hörsammade denna anmaning, därutinnan handlade han, enligt min uppfattning, fullständigt riktigt — hans ovillkorliga plikt ålade honom att icke efterkoroma atimaningen. Talaren berörde äfven förhållanden, hvilka för närvarande äro föremål för öfverläggningar mellan Konungens svenska och norska rådgifvare. Uti dessa förhandlingar ingår frågan om det åt kommittén uppdragna värfvet att tillse och undersöka, huruvida en anordning för tillvaratagandet af svenskars intressen i Norge och norrmäns i Sverige kunde anses erforderliga. Talaren framförde åtskilligt, hvilket varit för kommittén liksom för regeringen fullständigt obekant, och jag måste beklaga, att hans anmärkningar framkommit i en form, som gör det omöjligt att tillmäta dem den betydelse, de till äfventyrs kunnat hafva, därest de varit understödda af, jag vill icke säga fullt juridiskt bindande bevis, men åtminstone klart angifna sakförhållanden. Är talaren i tillfälle att framlägga sådana, är tiden ingalunda försutten, i händelse hans uppgifter skulle visa sig vara af beskaffenhet att böra föranleda till något. Tills vidare måste jag lämna hans klagomål i den delen fullständigt ur räkningen. Den mot mig personligen riktade insinuationen om bristande opartiskhet skall jag lämna utan svar, troende mig med full tillförsikt kunna lämna åt kammaren att därom fälla sitt omdöme.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