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930</w:t>
      </w:r>
    </w:p>
    <w:p>
      <w:r>
        <w:rPr>
          <w:b/>
        </w:rPr>
        <w:t xml:space="preserve">Datum: </w:t>
      </w:r>
      <w:r>
        <w:t>1903-02-25</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Edvard Wavrinsky (Socialdemokraterna, man)</w:t>
      </w:r>
    </w:p>
    <w:p>
      <w:r>
        <w:rPr>
          <w:b w:val="0"/>
        </w:rPr>
        <w:t>Herr talman! Jag ber blott att få erinra om, att det ur teknisk synpunkt numera icke möter någon svårighet att erhålla en god och sund maltdryck, som icke innehåller någon alkohol alls. Sådana drycker finnas och tillverkas i stor mängd i Tyskland, hvarför man tryggt kan påstå, att svårigheterna att framställa en sund och välsmakande maltdryck med' ringa eller ingen alkoholhalt äro fullständigt öfvervunna.</w:t>
        <w:br/>
        <w:br/>
        <w:t xml:space="preserve">Kungl. Maj:t täcktes taga i öfvervägande, i hvad mån gällande Angående änlagstiftning om </w:t>
      </w:r>
      <w:r>
        <w:rPr>
          <w:b/>
        </w:rPr>
        <w:t>hustrus²</w:t>
      </w:r>
      <w:r>
        <w:rPr>
          <w:b w:val="0"/>
        </w:rPr>
        <w:t xml:space="preserve"> rättsliga ställning kunde böra blifva föreör LE mål för jämkning eller förtydligande, i syfte att, utan väsentlig Giflersnåle rubbning af de grunder, hvarpå denna lagstiftning hvilade, balken m. m. </w:t>
      </w:r>
      <w:r>
        <w:rPr>
          <w:b/>
        </w:rPr>
        <w:t>hustrus²</w:t>
      </w:r>
      <w:r>
        <w:rPr>
          <w:b w:val="0"/>
        </w:rPr>
        <w:t xml:space="preserve"> rättsställning måtte blifva mera klart och följdriktigt (Forts.) bestämd än för närvarande, samt för Riksdagen framlägga för-</w:t>
        <w:br/>
        <w:br/>
        <w:t>slag till de lagbestämmelser i ämnet, hvartill förhållandena kunde</w:t>
      </w:r>
    </w:p>
    <w:p>
      <w:pPr>
        <w:pStyle w:val="Heading2"/>
      </w:pPr>
      <w:r>
        <w:t>2. Carl Lindhagen (Socialdemokraterna, man)</w:t>
      </w:r>
    </w:p>
    <w:p>
      <w:r>
        <w:rPr>
          <w:b w:val="0"/>
        </w:rPr>
        <w:t xml:space="preserve">Herr talman! Mannens målsmanskap öfver </w:t>
      </w:r>
      <w:r>
        <w:rPr>
          <w:b/>
        </w:rPr>
        <w:t>hustrun²</w:t>
      </w:r>
      <w:r>
        <w:rPr>
          <w:b w:val="0"/>
        </w:rPr>
        <w:t xml:space="preserve"> är ett gammalt ärevördigt svenskt rättsinstitut, öfver hvilket hvilar mycket dunkel. Lagutskottet säger själft härom: »Att med bestämdhet angifva gränserna för hvad detta begrepp innebär är icke lätt». En sak är emellertid klar, nämligen att man genom målsmanskapet velat i allmänhet ställa </w:t>
      </w:r>
      <w:r>
        <w:rPr>
          <w:b/>
        </w:rPr>
        <w:t>hustrun²</w:t>
      </w:r>
      <w:r>
        <w:rPr>
          <w:b w:val="0"/>
        </w:rPr>
        <w:t xml:space="preserve"> i en underordnad ställning under mannen i lifvets förhållanden. Mannens målsmanskap innebär något af förmynderskap eller något af husbondevålde eller något af bägge delarne, men på samma gång påstår man, att ingendera af dessa åskådningar är den rätta. Med denna obestämdhet i afseende på målsmanskapets begrepp har följt, att </w:t>
      </w:r>
      <w:r>
        <w:rPr>
          <w:b/>
        </w:rPr>
        <w:t>hustrun²</w:t>
      </w:r>
      <w:r>
        <w:rPr>
          <w:b w:val="0"/>
        </w:rPr>
        <w:t xml:space="preserve"> ofta klafbindes</w:t>
        <w:br/>
        <w:br/>
        <w:t xml:space="preserve">Det är klart, att det måste bli någon rättelse i dessa förhållanden. Men då är frågan, på hvad sätt denna rättelse skall äga rum. I England har man, såvidt det rör makars egendomsförhållanden, för icke länge sedan ordnat saken på det sättet, att lagen uttryckligen föreskrifver, att gift </w:t>
      </w:r>
      <w:r>
        <w:rPr>
          <w:b/>
        </w:rPr>
        <w:t>kvinna¹</w:t>
      </w:r>
      <w:r>
        <w:rPr>
          <w:b w:val="0"/>
        </w:rPr>
        <w:t xml:space="preserve"> är myndig, men på samma gång har man äfven upphäft egendomsgemenskapen, så att hvardera maken förvaltar sitt ensam och icke har något mer att göra med den andre, än hvad hvarje enskild person skulle hafva med en annan enskild person att skaffa.</w:t>
        <w:br/>
        <w:br/>
        <w:t>För åtskilliga år sedan väcktes här i kammaren en motion, innebärande förslag, att man äfven hos oss skulle ordna saken på samma sätt som i England. Denna motion afslogs naturligtvis af Riksdagen. Men det var icke nog med detta; utan när motionären här i Andra Kammaren skulle tala för sin af lagutskottet afstyrkta framställning, väsnades det svenska manfolkets representanter i Riksdagen och slogo i klaffarne för att på detta sätt gifva tillkänna sitt ytterliga misshag med detta attentat mot deras privilegierade ställning.</w:t>
        <w:br/>
        <w:br/>
        <w:t xml:space="preserve">Nu vill jag visserligen medgifva, att förhållandena äro sådana, att man hos oss icke för närvarande kan eller bör gå så långt. Det lider intet tvifvel om, att det icke finnes en sådan rättsuppfattning, som kunde gifva stöd åt upphäfvandet af egendomsgemenskapen och mannens allmänna förvaltningsrätt. Och hvad nu särskildt egendomsgemenskapen beträffar, så är denna ju i och för sig icke något ondt, utan ofta tvärtom. Därför hafva detta års motionärer valt en annan väg för att bringa klarhet på detta rättsområde. De hafva föreslagit, att man skall såsom regel bibehålla mannens allmänna förvaltningsrätt och egendomsgemenskapen samt den vidlyftiga lagstiftning, som grundar sig därpå, men själfva målsmanskapet i öfrigt skulle man afskaffa. Man skulle ställa saken så, att i stället för att det nu står skrifvet, att mannen är sin </w:t>
      </w:r>
      <w:r>
        <w:rPr>
          <w:b/>
        </w:rPr>
        <w:t>hustrus²</w:t>
      </w:r>
      <w:r>
        <w:rPr>
          <w:b w:val="0"/>
        </w:rPr>
        <w:t xml:space="preserve"> målsman med allenast de undantag, som betingas af </w:t>
      </w:r>
      <w:r>
        <w:rPr>
          <w:b/>
        </w:rPr>
        <w:t>hustruns²</w:t>
      </w:r>
      <w:r>
        <w:rPr>
          <w:b w:val="0"/>
        </w:rPr>
        <w:t xml:space="preserve"> förvaltningsrätt, skulle man vända om förhållandena och säga, att gift </w:t>
      </w:r>
      <w:r>
        <w:rPr>
          <w:b/>
        </w:rPr>
        <w:t>kvinna¹</w:t>
      </w:r>
      <w:r>
        <w:rPr>
          <w:b w:val="0"/>
        </w:rPr>
        <w:t xml:space="preserve"> är myndig med de undantag, som betingas af mannens förvaltningsrätt. Detta är en tillämpning af satsen om Kolumbi ägg på detta</w:t>
        <w:br/>
        <w:br/>
        <w:t>rättsområde. Just på detta sätt kan man lösa svårigheterna Angående änenkelt och utan omstörtning, och just på detta sätt hafva de drad lydelse</w:t>
        <w:br/>
        <w:br/>
        <w:t>äfven lösts både i Norge och Danmark genom lagar, som täm- ARNE ligen nyligen antagits. balken m. m.</w:t>
        <w:br/>
        <w:br/>
        <w:t xml:space="preserve">Då frågas: hvad vinnes genom en sådan lagändring, som af = (Forts.) motionärerna nu föreslagits? Jo, därigenom vinner man dels praktiska fördelar och dels ideella fördelar. De praktiska fördelarne skulle bestå däri, att man på detta rättsområde, där nu stor osäkerhet råder vid rättstillämpningen, skulle få en klar princip, som kunde verka ledande och rättsbildande. Man skulle omsider få veta, huru det ställer sig för </w:t>
      </w:r>
      <w:r>
        <w:rPr>
          <w:b/>
        </w:rPr>
        <w:t>hustrun²</w:t>
      </w:r>
      <w:r>
        <w:rPr>
          <w:b w:val="0"/>
        </w:rPr>
        <w:t xml:space="preserve"> med afseende på förmynderskap, fullmakt, rätt att bekläda sådana uppdrag, för hvilka fordras myndighet i allmänhet o. s. v. Och man skulle få en effektiv tillämpning af </w:t>
      </w:r>
      <w:r>
        <w:rPr>
          <w:b/>
        </w:rPr>
        <w:t>hustruns²</w:t>
      </w:r>
      <w:r>
        <w:rPr>
          <w:b w:val="0"/>
        </w:rPr>
        <w:t xml:space="preserve"> rättigheter på de områden, där </w:t>
      </w:r>
      <w:r>
        <w:rPr>
          <w:b/>
        </w:rPr>
        <w:t>hon²</w:t>
      </w:r>
      <w:r>
        <w:rPr>
          <w:b w:val="0"/>
        </w:rPr>
        <w:t xml:space="preserve"> redan fått sig rättigheter tillagda, hvilket nu icke alltid är förhållandet.</w:t>
        <w:br/>
        <w:br/>
        <w:t xml:space="preserve">Äfven lagutskottet erkänner, att här verkligen föreligger ett behof. Men lagutskottet vågar icke gå så långt som motionärerna hafva föreslagit; det fruktar för, att på detta sätt den gifta </w:t>
      </w:r>
      <w:r>
        <w:rPr>
          <w:b/>
        </w:rPr>
        <w:t>kvinnan¹</w:t>
      </w:r>
      <w:r>
        <w:rPr>
          <w:b w:val="0"/>
        </w:rPr>
        <w:t xml:space="preserve"> i själfva verket får för mycket. Och därför förordar utskottet, att man skall gå en medelväg och utfinna åtgärder, hvarigenom de väsentligaste olägenheterna skulle afhjälpas. Men utskottet kan naturligtvis icke angifva, hvilka dessa åtgärder skulle vara, då utskottet med sin uppfattning ställt sig på den ståndpunkten, att man skulle kunna upphäfva all oklarhet genom att bibehålla själfva anledningen till densamma, hvilken ligger just i detta mannens målsmanskap.</w:t>
        <w:br/>
        <w:br/>
        <w:t xml:space="preserve">Jag sade, att genom motionärernas förslag vissa ideella fördelar skulle vinnas. Och dessa. äro enligt min uppfattning de viktigaste, just därför att de skulle föra med sig den största praktiska nyttan. Ty de ideella synpunkterna äro ägnade att omdana människornas sinnen och utgöra därför en mäktig häfstång till utjämnande af missförhållanden i samhället, där snusförnuftet icke skulle räcka till för ändamålet. Genom att borttaga den gifta </w:t>
      </w:r>
      <w:r>
        <w:rPr>
          <w:b/>
        </w:rPr>
        <w:t>kvinnans¹</w:t>
      </w:r>
      <w:r>
        <w:rPr>
          <w:b w:val="0"/>
        </w:rPr>
        <w:t xml:space="preserve"> omyndighetsmärke ur lagen skulle man vinna ett framsteg i kultur. Och detta innebär, teoretiskt sedt, utförandet af en akt af rättvisa och, praktiskt sedt, vinnandet af en ny makt till det goda i samhället.</w:t>
        <w:br/>
        <w:br/>
        <w:t xml:space="preserve">Här vill lagutskottet icke alls vara med. Lagutskottet vill icke finna sig i att man ur lagen skall taga bort den gloria, som genom mannens målsmanskap sväfvar kring den gifte mannens hjässa. Lagutskottet står på samma ståndpunkt som utskottet intog förra året, då utskottet hade att yttra sig om en motion, som åsyftade rättigheten för den gifta </w:t>
      </w:r>
      <w:r>
        <w:rPr>
          <w:b/>
        </w:rPr>
        <w:t>kvinnan¹</w:t>
      </w:r>
      <w:r>
        <w:rPr>
          <w:b w:val="0"/>
        </w:rPr>
        <w:t xml:space="preserve"> att kunna inväljas i fattigvårdsstyrelse. Men det storartade ogillande, som. mötte utskottets uttalade tankar vid detta tillfälle från bägge kamrarne, har haft det goda med sig, att utskottet nu icke så</w:t>
        <w:br/>
        <w:br/>
        <w:t>mycket exponerat sin uppfattning utan kringgått densamma och på ett mera indirekt sätt tagit afstånd från den ideella innebörden af frågan.</w:t>
        <w:br/>
        <w:br/>
        <w:t>Nu vill jag medgifva, att behofvet af en lagändring och insikten om dess behöflighet ställer sig icke lika på alla håll. Det är i synnerhet på platser, där människorna lefva hopgyttrade, som dessa samlifvets frågor först träda i förgrunden. Men den omständigheten, att man mångenstädes på landsbygden icke känt och icke insett detta behof, synes mig icke innebära skäl för landsbygden att motsätta sig förslaget. Ty det måste äfven där af ett oförvilladt sinne inses, att saken är rättvis, och af en rättvis sak måste förr eller senare framkomma något godt, äfven om behofvet icke omedelbart framträder.</w:t>
        <w:br/>
        <w:br/>
        <w:t xml:space="preserve">Jag skall i detta sammanhang nämna, att jag från de </w:t>
      </w:r>
      <w:r>
        <w:rPr>
          <w:b/>
        </w:rPr>
        <w:t>kvinnliga¹</w:t>
      </w:r>
      <w:r>
        <w:rPr>
          <w:b w:val="0"/>
        </w:rPr>
        <w:t xml:space="preserve"> rösträttsföreningarne i Lund, Helsingborg, Göteborg, Norrköping och Stockholm fått mottaga adresser, som de anhållit, att jag måtte bringa till kammarens kännedom, däri de på det lifligaste förorda bifall till dessa motioner. Förhållandet är, att de </w:t>
      </w:r>
      <w:r>
        <w:rPr>
          <w:b/>
        </w:rPr>
        <w:t>kvinnliga¹</w:t>
      </w:r>
      <w:r>
        <w:rPr>
          <w:b w:val="0"/>
        </w:rPr>
        <w:t xml:space="preserve"> rösträttsföreningarne på sitt program äfven upptagit understöd för sträfvandena att afskaffa mannens målsmanskap. Dessa adresser äro till innehållet tämligen lika. Jag skall därför uppläsa endast den längsta, nämligen adressen från Stockholms kvinliga rösträttförening, som räknar 800 inregistrerade medlemmar och har på sitt nyligen hållna årsmöte antagit följande mig tillställda resolution: »Föreningen för </w:t>
      </w:r>
      <w:r>
        <w:rPr>
          <w:b/>
        </w:rPr>
        <w:t>kvinnans¹</w:t>
      </w:r>
      <w:r>
        <w:rPr>
          <w:b w:val="0"/>
        </w:rPr>
        <w:t xml:space="preserve"> politiska rösträtt i Stockholm, samlad till årsmöte den 23 februari 1903, uttalar härmed sin lifliga anslutning till de motioner, hvilka väckts i Första Kammaren af Herr Filip Boström och i Andra Kammaren af Herr Carl Lindhagen m. £., angående upphäfvande af mannens målsmanskap öfver </w:t>
      </w:r>
      <w:r>
        <w:rPr>
          <w:b/>
        </w:rPr>
        <w:t>hustrun²</w:t>
      </w:r>
      <w:r>
        <w:rPr>
          <w:b w:val="0"/>
        </w:rPr>
        <w:t xml:space="preserve">. Då dessa motioner afse att definitivt bekräfta den myndighet, som gift </w:t>
      </w:r>
      <w:r>
        <w:rPr>
          <w:b/>
        </w:rPr>
        <w:t>kvinna¹</w:t>
      </w:r>
      <w:r>
        <w:rPr>
          <w:b w:val="0"/>
        </w:rPr>
        <w:t xml:space="preserve"> redan genom 1874 och 1898 års lagstiftning rörande makars egendomsförhållanden kan anses.äga, måste den af tänkande </w:t>
      </w:r>
      <w:r>
        <w:rPr>
          <w:b/>
        </w:rPr>
        <w:t>kvinnor¹</w:t>
      </w:r>
      <w:r>
        <w:rPr>
          <w:b w:val="0"/>
        </w:rPr>
        <w:t xml:space="preserve"> gifvetvis omfattas såsom en tidsenlig och värdig reform. — Då dessutom frågan om </w:t>
      </w:r>
      <w:r>
        <w:rPr>
          <w:b/>
        </w:rPr>
        <w:t>kvinnans¹</w:t>
      </w:r>
      <w:r>
        <w:rPr>
          <w:b w:val="0"/>
        </w:rPr>
        <w:t xml:space="preserve"> politiska rösträtt nu börjar blifva aktuell, och själfklart torde vara, att den gifta kvimnan är lika kompetent att utöfva rösträtt som den ogifta, uttalar föreningen härmed sin anslutning till de nämnda motiozrerna äfven ur den synpunkten, att de för den gifta </w:t>
      </w:r>
      <w:r>
        <w:rPr>
          <w:b/>
        </w:rPr>
        <w:t>kvinnan¹</w:t>
      </w:r>
      <w:r>
        <w:rPr>
          <w:b w:val="0"/>
        </w:rPr>
        <w:t xml:space="preserve"> bereda vägen till fulla medborgerliga rättigheter. — Det hade varit synnerligen önskvärdt, att denna fråga redan af innevarande års Riksdag kunnat lösas i enlighet med motionärernas förslag, men då så väl lagutskottet som reservanterna inom detsamma hemställt, att Riksdagen skulle begära utredning och förslag i ämnet från Kongl. Maj:t, får föreningen uttala som sin bestämda förhoppning, att detta ej måtte leda till att genomförandet af denna viktiga reform för långa tider undanskjutes</w:t>
        <w:br/>
        <w:br/>
        <w:t>utan att frågan måtte, så snart ske kan, och helst nästa år åter Angående änföreläggas Riksdagen.» are nd I detta sista önskemål instämmer jag till alla delar, oafsedt giftermålshvilket skrifvelseförslag tilläfventyrs kommer att afgå från Riks-balken m. mdagen eller beslutas i frågan af någondera af Riksdagens kamrar. «(Forts.) Det är endast under den förutsättningen, att denna fråga icke blir för långliga tider lagd på hyllan, som jag af opportunitetsskäl resignerar från att yrka bifall till de af motionärerna framlagda lagförslagen. Men jag kan icke vara med om utskottets skrifvelseförslag, då det saknar alla ideella synpunkter och just därför blifvit ur stånd att lemna ett fruktbart praktiskt uppslag till en lösning af frågan i tidsenlig riktning. Jag tillåter mig alltså, herr talman, att yrka bifall till den af mig och Friherre Bonde afgifna, vid lagutskottets betänkande fogade reservationen.</w:t>
      </w:r>
    </w:p>
    <w:p>
      <w:pPr>
        <w:pStyle w:val="Heading2"/>
      </w:pPr>
      <w:r>
        <w:t>3. Daniel Persson (Liberala samlingspartiet, man)</w:t>
      </w:r>
    </w:p>
    <w:p>
      <w:r>
        <w:rPr>
          <w:b w:val="0"/>
        </w:rPr>
        <w:t xml:space="preserve">Då nu lagutskottet synes vara enigt därom, att man — om också under olika former — bör skrifva till Kungl. Maj:t i den nu förevarande frågan, så är det att hoppas, att Riksdagen också kommer att bifalla utskottets eller någon af reservanternas hemställan i detta syfte. På samma gång skulle jag för min del vilja bringa under Kungl. Maj:ts pröfning en annan fråga, som har mycket nära samband med den föreliggande frågan, och jag tror, att det af motionärerna framstälda förslaget just är grundläggande för den åskådning, som jag vill göra gällande. Jag åsyftar nämligen, att en sådan ändring borde ske af 2 8 i 9 kapitlet giftermålsbalken, att mannen icke skulle hafva rätt att utan </w:t>
      </w:r>
      <w:r>
        <w:rPr>
          <w:b/>
        </w:rPr>
        <w:t>hustruns²</w:t>
      </w:r>
      <w:r>
        <w:rPr>
          <w:b w:val="0"/>
        </w:rPr>
        <w:t xml:space="preserve"> skriftliga ja och samtycke försälja sådan fast ägendom, som makarne geniensamt förvärfvat. Därom tog jag mig friheten att redan 1898 väcka motion, men det särskilda utskott, som då behandlade den motionen i sammanhang med en kungl. proposition om makars inbördes ägendomsförhållanden, fann icke för godt att tillstyrka motionen i dess helhet, och Riksdagen biföll den icke heller i vidsträcktare mån, än i hvad den afsåg afverkningsrätt till skog å </w:t>
      </w:r>
      <w:r>
        <w:rPr>
          <w:b/>
        </w:rPr>
        <w:t>hustrus²</w:t>
      </w:r>
      <w:r>
        <w:rPr>
          <w:b w:val="0"/>
        </w:rPr>
        <w:t xml:space="preserve"> enskilda fasta ägendom.</w:t>
        <w:br/>
        <w:br/>
        <w:t>Denna fråga har många gånger varit föremål för Riksdagens pröfning. Och uti 1734 års lag, där denna sak förut ända till</w:t>
        <w:br/>
        <w:br/>
        <w:t xml:space="preserve">år 1898 var apgifven i 11 kapitlet giftermålsbalken, var det icke så tydligt stadgadt beträffande mannens rätt i detta fall, utan det var först genom kungl. förklaringen den 23 mars 1807, som det blef tydligt, att mannen hade rätt att fullkomligt ensam sälja, bortskifta och förpanta sådan ägendom, som makarne gemensamt förvärfvat. Jag ber att få erinra därom, att det ofta kan hända, att sådan egendom, som makarne gemensamt förvärfvat, blifvit inköpt för medel, som </w:t>
      </w:r>
      <w:r>
        <w:rPr>
          <w:b/>
        </w:rPr>
        <w:t>hustrun²</w:t>
      </w:r>
      <w:r>
        <w:rPr>
          <w:b w:val="0"/>
        </w:rPr>
        <w:t xml:space="preserve"> ensam fört in i boet. Kan det då vara annat än en gärd af billighet och rättvisa att stadga, att </w:t>
      </w:r>
      <w:r>
        <w:rPr>
          <w:b/>
        </w:rPr>
        <w:t>hustrun²</w:t>
      </w:r>
      <w:r>
        <w:rPr>
          <w:b w:val="0"/>
        </w:rPr>
        <w:t xml:space="preserve"> också bör få hafva sitt ord med i laget, då det blir fråga om att sälja sådan egendom? Denna uppfattning har äfven funnit sitt uttryck i en af Riksdagen till Kungl. Maj:t aflåten skrifvelse af den 7 maj 1884, i hvilken skrifvelse det bland annat heter: »Med anledning af särskilda hos Riksdagen gjorda framställningar om ändrad lagstiftning angående äkta makars inbördes egendomsförhållanden, i syfte att bättre än hittills skett tillgodose den gifta </w:t>
      </w:r>
      <w:r>
        <w:rPr>
          <w:b/>
        </w:rPr>
        <w:t>kvinnans¹</w:t>
      </w:r>
      <w:r>
        <w:rPr>
          <w:b w:val="0"/>
        </w:rPr>
        <w:t xml:space="preserve"> rätt och bästa, har Riksdagen, efter sorgfällig pröfning af hit hörande förhållanden, kommit till den åsikt, att nu gällande lagstiftning i ämnet bör ändras i nedannämnda afseenden», och i punkt 2 heter det sedan: »gift </w:t>
      </w:r>
      <w:r>
        <w:rPr>
          <w:b/>
        </w:rPr>
        <w:t>kvinna¹</w:t>
      </w:r>
      <w:r>
        <w:rPr>
          <w:b w:val="0"/>
        </w:rPr>
        <w:t xml:space="preserve"> bör berättigas att själf förvalta den egendom, som är </w:t>
      </w:r>
      <w:r>
        <w:rPr>
          <w:b/>
        </w:rPr>
        <w:t>henne²</w:t>
      </w:r>
      <w:r>
        <w:rPr>
          <w:b w:val="0"/>
        </w:rPr>
        <w:t xml:space="preserve"> enskildt tillhörig, utan att behöfva genom äktenskapsförord förbehålla sig sådan rätt.» Och i punkt 3 af samma riksdagsskrifvelse heter det bland annat, att »mannen må icke hafva makt att utan </w:t>
      </w:r>
      <w:r>
        <w:rPr>
          <w:b/>
        </w:rPr>
        <w:t>hustruns²</w:t>
      </w:r>
      <w:r>
        <w:rPr>
          <w:b w:val="0"/>
        </w:rPr>
        <w:t xml:space="preserve"> samtycke bortskifta, förpanta eller sälja boets fasta egendom å landet eller jord och hus i staden». Såsom ytterligare motivering till denna sin uttalade önskan säger Riksdagen bland annat: »Riksdagen är öfvertygad, att, därest i förevarande del af vår lagstiftning bestämmelser i nu angifna syften infördes, åt den svenska gifta </w:t>
      </w:r>
      <w:r>
        <w:rPr>
          <w:b/>
        </w:rPr>
        <w:t>kvinnan¹</w:t>
      </w:r>
      <w:r>
        <w:rPr>
          <w:b w:val="0"/>
        </w:rPr>
        <w:t xml:space="preserve"> vore i afseende å </w:t>
      </w:r>
      <w:r>
        <w:rPr>
          <w:b/>
        </w:rPr>
        <w:t>hennes²</w:t>
      </w:r>
      <w:r>
        <w:rPr>
          <w:b w:val="0"/>
        </w:rPr>
        <w:t xml:space="preserve"> egendomsförhållanden inrymd en själfständighet, befogenhet och trygghet, som på en gång vore större än den </w:t>
      </w:r>
      <w:r>
        <w:rPr>
          <w:b/>
        </w:rPr>
        <w:t>hon²</w:t>
      </w:r>
      <w:r>
        <w:rPr>
          <w:b w:val="0"/>
        </w:rPr>
        <w:t xml:space="preserve"> för närvarande äger, och ändock läte sig väl förena med svensk sed, svensk rättsåskådning och en i dylika fall särdeles önskvärd, att icke säga nödvändig historisk utveckling.»</w:t>
        <w:br/>
        <w:br/>
        <w:t>Jag instämmer till fullo med denna Riksdagens uttalade åskådning, och uttalar nu endast den förhoppningen, att Kungl. Maj:t, i samband med hvad lagutskottet nu här föreslagit, måtte taga äfven denna del af frågan i allvarligt öfvervägande. I öfrigt ber jag att få instämma i det af herr Lindhagen framstälda yrkandet.</w:t>
        <w:br/>
        <w:br/>
        <w:t xml:space="preserve">klart, att jag kommer att framställa samma yrkande som den Angdende änförste talaren. Jag har emellertid begärt ordet för att tillkännadrad lydelse ) f : . IC ? af 9 kap 18 gifva, hvad som förmått mig att sluta mig till motionen och nu ”giftermålsförmår mig att yrka bifall till den hemställan, som framställts af balken m. m. reservanterna friherre Bonde och herr Lindhagen. (Forts.) Det är sant, att denna frågas största betydelse är af teoretisk art, såsom den förste talaren antydde, i det man nämligen genom en lagändring i det syfte vi ifrågasatt, får i lagen fastslaget, att det är den gifta </w:t>
      </w:r>
      <w:r>
        <w:rPr>
          <w:b/>
        </w:rPr>
        <w:t>kvinnans¹</w:t>
      </w:r>
      <w:r>
        <w:rPr>
          <w:b w:val="0"/>
        </w:rPr>
        <w:t xml:space="preserve"> rätt att råda öfver sig och sin egendom, försåvidt som icke mannens förvaltningsrätt af boet därför lägger hinder i vägen. Genom, ett fastslående däraf i lagen är nämligen den gifta </w:t>
      </w:r>
      <w:r>
        <w:rPr>
          <w:b/>
        </w:rPr>
        <w:t>kvinnans¹</w:t>
      </w:r>
      <w:r>
        <w:rPr>
          <w:b w:val="0"/>
        </w:rPr>
        <w:t xml:space="preserve"> rättsliga likställighet med mannen i lagen till sin princip erkänd; och detta anser jag för visso vara den största betydelsen af den ifrågasatta lagändringen. Men det är dock icke den synpunkten, som för mig varit den afgörande, då jag motionerat i frågan, utan detär förslagets praktiska innebörd. Lagutskottet säger i sin motivering, att </w:t>
      </w:r>
      <w:r>
        <w:rPr>
          <w:b/>
        </w:rPr>
        <w:t>hustrun²</w:t>
      </w:r>
      <w:r>
        <w:rPr>
          <w:b w:val="0"/>
        </w:rPr>
        <w:t xml:space="preserve"> enligt vår lag redan är myndig. Ja väl, det torde hända, att man teoretiskt kan leda sig till den satsen. Men huru ställer det sig i praktiken? Jo, där ställer det sig så, att denna den gifta </w:t>
      </w:r>
      <w:r>
        <w:rPr>
          <w:b/>
        </w:rPr>
        <w:t>kvinnans¹</w:t>
      </w:r>
      <w:r>
        <w:rPr>
          <w:b w:val="0"/>
        </w:rPr>
        <w:t xml:space="preserve"> myndighet är så kringskuren genom mannens målsmanskap och rätt att för </w:t>
      </w:r>
      <w:r>
        <w:rPr>
          <w:b/>
        </w:rPr>
        <w:t>henne²</w:t>
      </w:r>
      <w:r>
        <w:rPr>
          <w:b w:val="0"/>
        </w:rPr>
        <w:t xml:space="preserve"> söka och svara, att den i många fall icke alls kan göra sig gällande, ett förhållande, som både för </w:t>
      </w:r>
      <w:r>
        <w:rPr>
          <w:b/>
        </w:rPr>
        <w:t>henne²</w:t>
      </w:r>
      <w:r>
        <w:rPr>
          <w:b w:val="0"/>
        </w:rPr>
        <w:t xml:space="preserve"> och den allmänhet, som </w:t>
      </w:r>
      <w:r>
        <w:rPr>
          <w:b/>
        </w:rPr>
        <w:t>hon²</w:t>
      </w:r>
      <w:r>
        <w:rPr>
          <w:b w:val="0"/>
        </w:rPr>
        <w:t xml:space="preserve"> har att göra med, föranledt och föranleder rättsförluster. Hvad som menas med mannens målsmanskap är ju, som den förste talaren också påpekade, ganska ovisst. Lagutskottet har icke kunnat angifva hvad därmed menas; och lagtolkarne torde icke heller vara så alldeles på det klara härmed, i det den ene . angifver innebörden af målsmanskapet något vidsträcktare än den andre. I allmänhet torde man väl dock därunder inbegripa åtminstone tvänne moment. Det ena är hvad man kallat mannens målsäganderätt, d. v. s. hans rättighet att för </w:t>
      </w:r>
      <w:r>
        <w:rPr>
          <w:b/>
        </w:rPr>
        <w:t>hustrun²</w:t>
      </w:r>
      <w:r>
        <w:rPr>
          <w:b w:val="0"/>
        </w:rPr>
        <w:t xml:space="preserve"> söka och svara i angelägenheter, som röra </w:t>
      </w:r>
      <w:r>
        <w:rPr>
          <w:b/>
        </w:rPr>
        <w:t>henne²</w:t>
      </w:r>
      <w:r>
        <w:rPr>
          <w:b w:val="0"/>
        </w:rPr>
        <w:t xml:space="preserve">. Det andra är mannens husbondevälde; och därunder innefattas då hans rättighet att i allt hvad som rörer familjen och makarnes samlif ha det afgörande ordet. Hvad nu först mannens målsäganderätt för </w:t>
      </w:r>
      <w:r>
        <w:rPr>
          <w:b/>
        </w:rPr>
        <w:t>hustrun²</w:t>
      </w:r>
      <w:r>
        <w:rPr>
          <w:b w:val="0"/>
        </w:rPr>
        <w:t xml:space="preserve"> beträffar, har den i praktiken visat sig föranleda missuppfattning och äfven rättsförluster, som jag nyss antydde. I dagliga lifvet har det utvecklat sig så, att mannens målsmanskap ofta nog icke kommer att göra sig gällande. Ingen tvekar egentligen, att, ifall </w:t>
      </w:r>
      <w:r>
        <w:rPr>
          <w:b/>
        </w:rPr>
        <w:t>hustrun²</w:t>
      </w:r>
      <w:r>
        <w:rPr>
          <w:b w:val="0"/>
        </w:rPr>
        <w:t xml:space="preserve"> är den, som af makarne är den dugligaste till att uppehålla familjen och dess ekonomi, med </w:t>
      </w:r>
      <w:r>
        <w:rPr>
          <w:b/>
        </w:rPr>
        <w:t>henne²</w:t>
      </w:r>
      <w:r>
        <w:rPr>
          <w:b w:val="0"/>
        </w:rPr>
        <w:t xml:space="preserve"> ingå ofta icke blott i sådant, som inbegripes under </w:t>
      </w:r>
      <w:r>
        <w:rPr>
          <w:b/>
        </w:rPr>
        <w:t>hennes²</w:t>
      </w:r>
      <w:r>
        <w:rPr>
          <w:b w:val="0"/>
        </w:rPr>
        <w:t xml:space="preserve"> rätt att handhafva hushållet — i hvilket fall icke ens enligt lagen någon tvekan torde</w:t>
        <w:br/>
        <w:br/>
        <w:t>område; och det går rätt väl, ända till dess man måste tillgripa lagen för att göra en rättighet gällande. Då säger det stopp;</w:t>
        <w:br/>
        <w:br/>
        <w:t>balken m. m. det går icke längre. Det kunde anföras många exempel härpå,</w:t>
        <w:br/>
        <w:br/>
        <w:t xml:space="preserve">ja de flesta torde hafva gjort en eller annan erfarenhet i det hänseendet. Jag skall för min del bedja att få för herrarne referera ett prejudikat, som synes mig ganska talande. Det är från år 1879. </w:t>
      </w:r>
      <w:r>
        <w:rPr>
          <w:b/>
        </w:rPr>
        <w:t>Hustru²</w:t>
      </w:r>
      <w:r>
        <w:rPr>
          <w:b w:val="0"/>
        </w:rPr>
        <w:t xml:space="preserve"> Elna </w:t>
      </w:r>
      <w:r>
        <w:rPr>
          <w:b/>
        </w:rPr>
        <w:t>Olsdotter²</w:t>
      </w:r>
      <w:r>
        <w:rPr>
          <w:b w:val="0"/>
        </w:rPr>
        <w:t xml:space="preserve">, instämd med yrkande att afträda ett hus, som </w:t>
      </w:r>
      <w:r>
        <w:rPr>
          <w:b/>
        </w:rPr>
        <w:t>hon²</w:t>
      </w:r>
      <w:r>
        <w:rPr>
          <w:b w:val="0"/>
        </w:rPr>
        <w:t xml:space="preserve"> enligt en afhandling försålt, dömdes af häradsrätten att afträda det. </w:t>
      </w:r>
      <w:r>
        <w:rPr>
          <w:b/>
        </w:rPr>
        <w:t>Hon²</w:t>
      </w:r>
      <w:r>
        <w:rPr>
          <w:b w:val="0"/>
        </w:rPr>
        <w:t xml:space="preserve"> fullföljde talan däremot och styrkte, på gifven anledning, i hofrätten, att </w:t>
      </w:r>
      <w:r>
        <w:rPr>
          <w:b/>
        </w:rPr>
        <w:t>hon²</w:t>
      </w:r>
      <w:r>
        <w:rPr>
          <w:b w:val="0"/>
        </w:rPr>
        <w:t xml:space="preserve"> icke på 25 år lefvat tillsammans med sin man, som var fattighjon och stod under vederbörande fattigvårdsstyrelses målsmanskap. Hofrätten utlät sig emellertid, att enär </w:t>
      </w:r>
      <w:r>
        <w:rPr>
          <w:b/>
        </w:rPr>
        <w:t>hon²</w:t>
      </w:r>
      <w:r>
        <w:rPr>
          <w:b w:val="0"/>
        </w:rPr>
        <w:t xml:space="preserve"> ej visat, att </w:t>
      </w:r>
      <w:r>
        <w:rPr>
          <w:b/>
        </w:rPr>
        <w:t>hon²</w:t>
      </w:r>
      <w:r>
        <w:rPr>
          <w:b w:val="0"/>
        </w:rPr>
        <w:t xml:space="preserve"> till målets fullföljande haft bemyndigande af sin målsman kunde </w:t>
      </w:r>
      <w:r>
        <w:rPr>
          <w:b/>
        </w:rPr>
        <w:t>hennes²</w:t>
      </w:r>
      <w:r>
        <w:rPr>
          <w:b w:val="0"/>
        </w:rPr>
        <w:t xml:space="preserve"> talan ej till pröfning upptagas. Detta utslag fastställdes af högsta domstolen. Skiljaktiga voro dock två ledamöter, af hvilka den ene yttrade, att enär målet instämts mot </w:t>
      </w:r>
      <w:r>
        <w:rPr>
          <w:b/>
        </w:rPr>
        <w:t>Olsdotter²</w:t>
      </w:r>
      <w:r>
        <w:rPr>
          <w:b w:val="0"/>
        </w:rPr>
        <w:t xml:space="preserve"> och </w:t>
      </w:r>
      <w:r>
        <w:rPr>
          <w:b/>
        </w:rPr>
        <w:t>hon²</w:t>
      </w:r>
      <w:r>
        <w:rPr>
          <w:b w:val="0"/>
        </w:rPr>
        <w:t xml:space="preserve"> förpliktats att afträda huset, funne han den omständigheten, att </w:t>
      </w:r>
      <w:r>
        <w:rPr>
          <w:b/>
        </w:rPr>
        <w:t>hon²</w:t>
      </w:r>
      <w:r>
        <w:rPr>
          <w:b w:val="0"/>
        </w:rPr>
        <w:t xml:space="preserve"> ej visat bemyndigande af sin målsman att fullfölja talan, desto mindre hafva utgjort laga hinder för upptagande af </w:t>
      </w:r>
      <w:r>
        <w:rPr>
          <w:b/>
        </w:rPr>
        <w:t>hennes²</w:t>
      </w:r>
      <w:r>
        <w:rPr>
          <w:b w:val="0"/>
        </w:rPr>
        <w:t xml:space="preserve"> talan som mannen under längre tid såsom fattighjon stått under annans målsmanskap.</w:t>
        <w:br/>
        <w:br/>
        <w:t xml:space="preserve">Det är ju alldeles upprörande, att — när </w:t>
      </w:r>
      <w:r>
        <w:rPr>
          <w:b/>
        </w:rPr>
        <w:t>hustrun²</w:t>
      </w:r>
      <w:r>
        <w:rPr>
          <w:b w:val="0"/>
        </w:rPr>
        <w:t xml:space="preserve"> själf skött sina affärer i 25 år och äfven underrätten anser </w:t>
      </w:r>
      <w:r>
        <w:rPr>
          <w:b/>
        </w:rPr>
        <w:t>henne²</w:t>
      </w:r>
      <w:r>
        <w:rPr>
          <w:b w:val="0"/>
        </w:rPr>
        <w:t xml:space="preserve"> behörig, upptager stämningen mot </w:t>
      </w:r>
      <w:r>
        <w:rPr>
          <w:b/>
        </w:rPr>
        <w:t>henne²</w:t>
      </w:r>
      <w:r>
        <w:rPr>
          <w:b w:val="0"/>
        </w:rPr>
        <w:t xml:space="preserve"> och dömer </w:t>
      </w:r>
      <w:r>
        <w:rPr>
          <w:b/>
        </w:rPr>
        <w:t>henne²</w:t>
      </w:r>
      <w:r>
        <w:rPr>
          <w:b w:val="0"/>
        </w:rPr>
        <w:t xml:space="preserve"> — målet, då det sedan kommer till öfverdomstolarna, icke tages upp, samt </w:t>
      </w:r>
      <w:r>
        <w:rPr>
          <w:b/>
        </w:rPr>
        <w:t>hon²</w:t>
      </w:r>
      <w:r>
        <w:rPr>
          <w:b w:val="0"/>
        </w:rPr>
        <w:t xml:space="preserve"> på det sättet förlorar sin rätt. Detta är visst icke ett undantag, utan det finnes många dylika domar äfven från senare år. Jag vill emellertid tillägga, att åsikterna icke varit eniga inom öfverdomstolarne, utan ofta stått 4 mot 3 inom högsta domstolen 0. s. v. Häraf se vi, hvilken vacklande rättsuppfattning och lagtillämpning råda i detta afseende.</w:t>
        <w:br/>
        <w:br/>
        <w:t xml:space="preserve">Huru är det vidare i afseende å mannens husbondevälde? Jo, detta innebär, bland annat, åtminstone enligt en tolkning, att </w:t>
      </w:r>
      <w:r>
        <w:rPr>
          <w:b/>
        </w:rPr>
        <w:t>hustrun²</w:t>
      </w:r>
      <w:r>
        <w:rPr>
          <w:b w:val="0"/>
        </w:rPr>
        <w:t xml:space="preserve"> är skyldig ägna sig åt familjens vård och uppehbållande och således icke har att utan mannens samtycke ägna sig åt andra göromål, som kunna afhålla </w:t>
      </w:r>
      <w:r>
        <w:rPr>
          <w:b/>
        </w:rPr>
        <w:t>henne²</w:t>
      </w:r>
      <w:r>
        <w:rPr>
          <w:b w:val="0"/>
        </w:rPr>
        <w:t xml:space="preserve"> från detta. Men hur är det i själfva verket? Jo i otaligt många fall måste </w:t>
      </w:r>
      <w:r>
        <w:rPr>
          <w:b/>
        </w:rPr>
        <w:t>hustrun²</w:t>
      </w:r>
      <w:r>
        <w:rPr>
          <w:b w:val="0"/>
        </w:rPr>
        <w:t xml:space="preserve"> för att uppehålla familjen åtaga sig göromål och sysslor, som icke ha afseende på själfva arbetet inom familjen. Och det går utmärkt bra; ingen man tänker i allmänhet på att förbjuda </w:t>
      </w:r>
      <w:r>
        <w:rPr>
          <w:b/>
        </w:rPr>
        <w:t>henne²</w:t>
      </w:r>
      <w:r>
        <w:rPr>
          <w:b w:val="0"/>
        </w:rPr>
        <w:t xml:space="preserve"> dylikt arbete. Men dock skulle han måhända med lagen i hand kunna säga: »Jag förbjuder dig att göra det, jag gillar det icke; du skall hafva ditt arbete inom familjen.» Det är ju för väl, att seden i detta fall är bättre än lagen!</w:t>
        <w:br/>
        <w:br/>
        <w:t>Det är alldeles tydligt, med sådan oklarhet och sådana</w:t>
        <w:br/>
        <w:br/>
        <w:t xml:space="preserve">olägenheter hos det nuvarande tillståndet för ögonen, att man Angående änmåste önska en ändring i lagen; och det enda sättet att få en Fö oe d8 tillfredsställande ändring synes mig vara, att man får mannens gäflermdie målsmanskap upphäfdt. Och därför är det, som jag sluter mig balken m. m. till det yrkande, som framställts af den förste talaren. (Forts.) Nu invänder man kanske: Men detta är någonting alltför nytt, som kan innebära stor fara; det upplöser familjebanden och enheten i handhafvandet af familjens ekonomi. Jag skall då till att börja med bedja att få fästa uppmärksamheten på att de båda reservanterna uttryckligen betona, att förändringen skall ske med bibehållande af mannens allmänna förvaltningsrätt öfver makarnes bo. Det är icke heller meningen att taga bort föreskrifterna om att </w:t>
      </w:r>
      <w:r>
        <w:rPr>
          <w:b/>
        </w:rPr>
        <w:t>hustru²</w:t>
      </w:r>
      <w:r>
        <w:rPr>
          <w:b w:val="0"/>
        </w:rPr>
        <w:t xml:space="preserve"> följer mannens stånd och villkor och allt hvad därmed är förbundet. Jag tillåter mig vidare att i detta hänseende erinra, att när nya lagberedningen år 1886 afgaf sitt förslag till ändring af makarnes egendomsförhållanden, så var det två reservanter inom lagberedningen, som yrkade redan då, att mannens målsmanskap skulle helt och hållet upphäfvas, och en bland dessa reservanter var £. d. statsrådet och presidenten Karl Johan Berg, om hvilken väl ingen torde behöfva misstänka, att han skulle vara med på några nymodiga och farliga lagändringar. Men han säger alldeles bestämdt, att det förefölle »såsom en uppenbar inkonsekvens, att den till myndig ålder komna </w:t>
      </w:r>
      <w:r>
        <w:rPr>
          <w:b/>
        </w:rPr>
        <w:t>kvinnan¹</w:t>
      </w:r>
      <w:r>
        <w:rPr>
          <w:b w:val="0"/>
        </w:rPr>
        <w:t xml:space="preserve">, som gifter sig, därigenom skulle förlora rätten att vidare förvalta sin egendom och i afseende på denna ställas under mannens målsmanskap». Han yrkade också, att stadgandet i 9 kap. 1 8 giftermålsbalken om mannens målsmanskap måtte tagas bort. Detta är ett föredöme, som åtminstone borde styrka, att fara icke föreligger att nu skrifva till Kungl. Makt, på sätt de båda omnämnda reservanterna föreslagit. Jag skulle slutligen vilja erinra om en annan sak, nämligen att utvidgandet af </w:t>
      </w:r>
      <w:r>
        <w:rPr>
          <w:b/>
        </w:rPr>
        <w:t>kvinnans¹</w:t>
      </w:r>
      <w:r>
        <w:rPr>
          <w:b w:val="0"/>
        </w:rPr>
        <w:t xml:space="preserve"> rätvtigheter alltid har hållit jämna steg med civilisationen. Det har antingen gått före såsom en medverkande orsak till civilisationens framåtskridande eller ock följt däraf såsom en mogen frukt. Därför se vi ock, hurusom civilisationens banbrytare hos ett folk jämväl ofta framträdt såsom förkämpar för </w:t>
      </w:r>
      <w:r>
        <w:rPr>
          <w:b/>
        </w:rPr>
        <w:t>kvinnans¹</w:t>
      </w:r>
      <w:r>
        <w:rPr>
          <w:b w:val="0"/>
        </w:rPr>
        <w:t xml:space="preserve"> rättigheter. Så äfven i vårt land. Enligt den gamla upplandslagen skall det hafva varit konung Erik den helige, som först lagstiftat i Sverige till förmån för den gifta </w:t>
      </w:r>
      <w:r>
        <w:rPr>
          <w:b/>
        </w:rPr>
        <w:t>kvinnans¹</w:t>
      </w:r>
      <w:r>
        <w:rPr>
          <w:b w:val="0"/>
        </w:rPr>
        <w:t xml:space="preserve"> rättigheter. Han skall ha tillerkänt </w:t>
      </w:r>
      <w:r>
        <w:rPr>
          <w:b/>
        </w:rPr>
        <w:t>henne²</w:t>
      </w:r>
      <w:r>
        <w:rPr>
          <w:b w:val="0"/>
        </w:rPr>
        <w:t xml:space="preserve"> rätten, som det heter: »till hedersoch husfrudöme, till lås och nycklar, til halfva säng och laga trediung i boet». Den lagstiftningen har sedermera af framfarna stora regenter fortsatts; och ända in i våra dagar har densamma fortgått, som vi väl veta. Våra grannländer Norge och Danmark, hvilka för öfrigt i afseende på äktenskapsrätten äro hufvudskakligen med oss lik-</w:t>
        <w:br/>
        <w:br/>
        <w:t>Angdende änställda, hafva genom nyare lagar fastslagit den principen, som vi</w:t>
        <w:br/>
        <w:br/>
        <w:t>Arad Iykege nu vilja för vårt land föra fram, och som, enligt min åsikt, är</w:t>
        <w:br/>
        <w:br/>
        <w:t>Ake Sett klart utflöde af vår tids civilisation och upplys sning. Och jag</w:t>
        <w:br/>
        <w:br/>
        <w:t>Herr talman! Jag yrkar bifall till friherre Bondes och herr</w:t>
      </w:r>
    </w:p>
    <w:p>
      <w:pPr>
        <w:pStyle w:val="Heading2"/>
      </w:pPr>
      <w:r>
        <w:t>4. Theodor Zetterstrand (Frisinnade försvarsvänner, man)</w:t>
      </w:r>
    </w:p>
    <w:p>
      <w:r>
        <w:rPr>
          <w:b w:val="0"/>
        </w:rPr>
        <w:t xml:space="preserve">Herr talman! Mine herrar! Af föreliggande utlåtande behagade herrarne inhämta, att utskottets samtliga ledamöter varit af den uppfattning, att nuvarande bestämmelser angående gift </w:t>
      </w:r>
      <w:r>
        <w:rPr>
          <w:b/>
        </w:rPr>
        <w:t>kvinnas¹</w:t>
      </w:r>
      <w:r>
        <w:rPr>
          <w:b w:val="0"/>
        </w:rPr>
        <w:t xml:space="preserve"> rättsställning icke hafva den klarhet, som önskligt vore, och att, då frågan därjämte är af den stora betydelse som här är fallet, allt skäl föreligger att hos Kungl. Maj:t anhålla om framläggande af ett lagförslag, som på ett bättre och tydligare sätt än hittills angifver gift </w:t>
      </w:r>
      <w:r>
        <w:rPr>
          <w:b/>
        </w:rPr>
        <w:t>kvinnas¹</w:t>
      </w:r>
      <w:r>
        <w:rPr>
          <w:b w:val="0"/>
        </w:rPr>
        <w:t xml:space="preserve"> rättsställning, och likaså har utskottet i slutet af sin motivering framhållit, att utskottet önskar, att lagbestämmelserna i ämnet skola göras till föremål för granskning 1 syften, hvilka gå i samma riktning, om också ej så långt, som motionärerna föreslagit.</w:t>
        <w:br/>
        <w:br/>
        <w:t xml:space="preserve">Utskottet har således i sin helhet ställt sig mycket välvilligt gent emot motionärernas önskningar. För egen del har jag velat gå ett stycke längre än utskottet. Jag har nämligen hållit före, att man borde uttala såsom en önskan, att det blifvande lagförslaget måtte i regel tillerkänna gift </w:t>
      </w:r>
      <w:r>
        <w:rPr>
          <w:b/>
        </w:rPr>
        <w:t>kvinna¹</w:t>
      </w:r>
      <w:r>
        <w:rPr>
          <w:b w:val="0"/>
        </w:rPr>
        <w:t xml:space="preserve"> samma myndighet som ogift </w:t>
      </w:r>
      <w:r>
        <w:rPr>
          <w:b/>
        </w:rPr>
        <w:t>kvinna¹</w:t>
      </w:r>
      <w:r>
        <w:rPr>
          <w:b w:val="0"/>
        </w:rPr>
        <w:t>, och jag har grundat denna min uppfattning därpå, att man, såsom herrarne behagade inhämta af utlåtandet, redan kommit därhän såväl i Norge som i Danmark. I Norge har utfärdats den bestämmelsen, att: »Gift Kvinde har samme Myndighet som den ugifte og raader sit Gods med de Begrendsninger, som indeholdes i ne&amp;erverende Lov» och i Danmark heter det, att: »</w:t>
      </w:r>
      <w:r>
        <w:rPr>
          <w:b/>
        </w:rPr>
        <w:t>Hustrues²</w:t>
      </w:r>
      <w:r>
        <w:rPr>
          <w:b w:val="0"/>
        </w:rPr>
        <w:t xml:space="preserve"> Myndighed i Formueforhold er densamme som ugift Piges». När nu dessa bestämmelser gälla i våra grannländer, har jag för min del haft den uppfattningen, att vi också här i Sverige måste gifva den gifta </w:t>
      </w:r>
      <w:r>
        <w:rPr>
          <w:b/>
        </w:rPr>
        <w:t>kvinnan¹</w:t>
      </w:r>
      <w:r>
        <w:rPr>
          <w:b w:val="0"/>
        </w:rPr>
        <w:t xml:space="preserve"> samma myndighet som </w:t>
      </w:r>
      <w:r>
        <w:rPr>
          <w:b/>
        </w:rPr>
        <w:t>hennes²</w:t>
      </w:r>
      <w:r>
        <w:rPr>
          <w:b w:val="0"/>
        </w:rPr>
        <w:t xml:space="preserve"> skandinaviska </w:t>
      </w:r>
      <w:r>
        <w:rPr>
          <w:b/>
        </w:rPr>
        <w:t>systrar²</w:t>
      </w:r>
      <w:r>
        <w:rPr>
          <w:b w:val="0"/>
        </w:rPr>
        <w:t>. Detta är anledningen, hvarför jag gått längre än utskottet. ÅA andra sidan har jag emellertid icke kunnat i närvarande stund helt och hållet sluta mig till den uppfattning, som uttalats af de öfriga reservanterna. Jag har icke velat betona, att icke frågan om mannens målsmanskap bör komma under ompröfning och att det icke i betydlig mån bör inskränkas, måhända äfven försvinna, men jag har icke i frågans nuvarande läge och utan tillfälle till ordentlig pröfning</w:t>
        <w:br/>
        <w:br/>
        <w:t xml:space="preserve">velat bestämdt uttala en önskan, att mannens målsmanskap skulle Angående änhelt och hållet upphöra. Det är nog så, som utskottet sagt, att o företer många frågor finnas, vid hvilkas bedömande målsmanskapet nu Veil tjänar till ledning och som möjligen äro af beskaffenhet, att labalken m. m. gen icke får lämna oafgjordt hvad som skall anses gälla, om = (Forts.) denna ledning bortfaller. Därför har jag satt mig emot ett bestämdt uttalande för målsmanskapets upphäfvande, utan endast bestämdt uttalat mig för att gift </w:t>
      </w:r>
      <w:r>
        <w:rPr>
          <w:b/>
        </w:rPr>
        <w:t>kvinna¹</w:t>
      </w:r>
      <w:r>
        <w:rPr>
          <w:b w:val="0"/>
        </w:rPr>
        <w:t xml:space="preserve"> bör hafva samma myndighet som ogift </w:t>
      </w:r>
      <w:r>
        <w:rPr>
          <w:b/>
        </w:rPr>
        <w:t>kvinna¹</w:t>
      </w:r>
      <w:r>
        <w:rPr>
          <w:b w:val="0"/>
        </w:rPr>
        <w:t>.</w:t>
        <w:br/>
        <w:br/>
        <w:t>Nu skulle naturligtvis konsekvensen fordra, att jag vidhölle yrkandet om bifall till min reservation, men då, såsom herrarne veta, Första Kammaren vid behandlingen af denna fråga satt sig i efterhand, lärer man af taktiska skäl och med tanken på en blifvande sammanjämkning icke nu böra bifalla min reservation, och därför kommer jag att, i det läge frågan nu ligger, rösta för herr Lindhagens med flere reservation.</w:t>
      </w:r>
    </w:p>
    <w:p>
      <w:pPr>
        <w:pStyle w:val="Heading2"/>
      </w:pPr>
      <w:r>
        <w:t>5. Klas Hugo Bergendahl (Första kammarens nationella parti, man)</w:t>
      </w:r>
    </w:p>
    <w:p>
      <w:r>
        <w:rPr>
          <w:b w:val="0"/>
        </w:rPr>
        <w:t>Herr talman! Jag ansluter mig också till den reservation, som afgifvits af herr Lindhagen och friherre Bonde, och jag skulle kunnat nöja mig med att instämma i hvad herr Lindhagen och nu senast herr Widén yttrat, men jag har dock något att tillägga och ber särskildt att få understryka hvad dessa herrar i vissa delar yttrat.</w:t>
        <w:br/>
        <w:br/>
        <w:t xml:space="preserve">Lagutskottets hemställan förefaller icke heller mig fullt tillfredsställande. Det är visserligen sant, att, såsom herr Zetterstrand yttrade, lagutskottets pluralitet ställt sig välvillig mot den föreliggande motionen, men jag anser dock, att dess hemställan gifver för litet på hand, och däraf framgår icke, hvilken utsträckning man önskar att den ifrågasatta lagändringen skall få. Utskottet har icke velat eller icke vågat intaga en bestämd position till den fråga, som i motionen blifvit uppkastad angående gift </w:t>
      </w:r>
      <w:r>
        <w:rPr>
          <w:b/>
        </w:rPr>
        <w:t>kvinnas¹</w:t>
      </w:r>
      <w:r>
        <w:rPr>
          <w:b w:val="0"/>
        </w:rPr>
        <w:t xml:space="preserve"> myndighet, och jag anser, att detta är alldeles nödvändigt för att få ett klart och tydligt lagstadgande i detta afseende. Den erinran lagutskottet gjort angående motionens räckvidd är ju fullt befogad, men därför att en sådan lagstiftning skulle återverka på flere områden, bör man väl icke hysa räddhåga för densammas genomförande, i synnerhet som man samtidigt kan genom lagstiftning reglera de förhållanden, som af en sådan lag skulle beröras. Lagutskottets pluralitet säger i utlåtandet, att Kungl. Maj:t måtte taga i öfvervägande, »i hvad mån gällande lagstiftning om </w:t>
      </w:r>
      <w:r>
        <w:rPr>
          <w:b/>
        </w:rPr>
        <w:t>hustrus²</w:t>
      </w:r>
      <w:r>
        <w:rPr>
          <w:b w:val="0"/>
        </w:rPr>
        <w:t xml:space="preserve"> rättsliga ställning kan böra blifva föremål för jämkning eller förtydligande», »kan böra blifva»; detta klingar redan i språkligt afseende litet egendomligt, och kanske här föreligger något tryckfel. Ar så icke fallet, torde detta uttryck: »kan böra blifva föremål» vara det mest pregnanta uttryck för den varsamhet och försiktighet, ja räddhåga, som lagutskottets pluralitet visat. Men jag fruktar, mine herrar, att om man skall iakt-</w:t>
        <w:br/>
        <w:br/>
        <w:t>taga en så stor varsamhet, som lagutskottets pluralitet förordar, vi skulle få en lagstiftning, som icke innebure någon utveckling, utan fastmera en ytterligare inveckling af förhållandena, sådana de nu äro.</w:t>
        <w:br/>
        <w:br/>
        <w:t>Att den lagstiftning, som nu är gällande, är i hög grad oviss och rent af oefterrättlig har förut framhållits. Jag vill likna den nuvarande lagstiftningen i denna del vid en person, som räcker fram handen för att gifva något, men när man skall mottaga hvad som handen bjuder, finner man, att handen är så hårdt tillsluten, att det är högst litet man kan plocka fram af det, som skulle gifvas.</w:t>
        <w:br/>
        <w:br/>
        <w:t xml:space="preserve">I likhet med herr Widén vill jag anföra ett rättsfall. Det af honom åberopade var från år 1879; jag har ett så färskt som från år 1900, och jag tror, att detta till full evidens bevisar, att en lagändring bör ske. År 1900 afgjorde Kungl. Maj:t i högsta domstolen ett mål, däri en gift </w:t>
      </w:r>
      <w:r>
        <w:rPr>
          <w:b/>
        </w:rPr>
        <w:t>kvinna¹</w:t>
      </w:r>
      <w:r>
        <w:rPr>
          <w:b w:val="0"/>
        </w:rPr>
        <w:t xml:space="preserve"> var instämd med yrkande, att </w:t>
      </w:r>
      <w:r>
        <w:rPr>
          <w:b/>
        </w:rPr>
        <w:t>henne²</w:t>
      </w:r>
      <w:r>
        <w:rPr>
          <w:b w:val="0"/>
        </w:rPr>
        <w:t xml:space="preserve"> måtte åläggas betalningsskyldighet på grund af en i </w:t>
      </w:r>
      <w:r>
        <w:rPr>
          <w:b/>
        </w:rPr>
        <w:t>hennes²</w:t>
      </w:r>
      <w:r>
        <w:rPr>
          <w:b w:val="0"/>
        </w:rPr>
        <w:t xml:space="preserve"> enskilda egendom intecknad skuldförbindelse. Genom hofrättens dom ålades </w:t>
      </w:r>
      <w:r>
        <w:rPr>
          <w:b/>
        </w:rPr>
        <w:t>henne²</w:t>
      </w:r>
      <w:r>
        <w:rPr>
          <w:b w:val="0"/>
        </w:rPr>
        <w:t xml:space="preserve"> betalningsskyldighet. Mannen underlät nu att fullfölja talan mot hofrättens dom, men </w:t>
      </w:r>
      <w:r>
        <w:rPr>
          <w:b/>
        </w:rPr>
        <w:t>hustrun²</w:t>
      </w:r>
      <w:r>
        <w:rPr>
          <w:b w:val="0"/>
        </w:rPr>
        <w:t xml:space="preserve"> erlade revisionsskilling och sökte ensam ändring i nämnda dom. Då svarade emellertid Kungl. Maj:t, att då det tillhörde mannen att i detta fall kära och svara för </w:t>
      </w:r>
      <w:r>
        <w:rPr>
          <w:b/>
        </w:rPr>
        <w:t>hustrun²</w:t>
      </w:r>
      <w:r>
        <w:rPr>
          <w:b w:val="0"/>
        </w:rPr>
        <w:t xml:space="preserve">, och </w:t>
      </w:r>
      <w:r>
        <w:rPr>
          <w:b/>
        </w:rPr>
        <w:t>hon²</w:t>
      </w:r>
      <w:r>
        <w:rPr>
          <w:b w:val="0"/>
        </w:rPr>
        <w:t xml:space="preserve"> således icke ägt att ensam fullfölja talan i målet, kunde </w:t>
      </w:r>
      <w:r>
        <w:rPr>
          <w:b/>
        </w:rPr>
        <w:t>hennes²</w:t>
      </w:r>
      <w:r>
        <w:rPr>
          <w:b w:val="0"/>
        </w:rPr>
        <w:t xml:space="preserve"> ändringssökande icke upptagas till pröfning. Det är ju alldeles orimligt, att lagstiftningen skall vara sådan, att en dylik dom skall kunna vara grundad, och det är orimligt, att en gift </w:t>
      </w:r>
      <w:r>
        <w:rPr>
          <w:b/>
        </w:rPr>
        <w:t>kvinna¹</w:t>
      </w:r>
      <w:r>
        <w:rPr>
          <w:b w:val="0"/>
        </w:rPr>
        <w:t>, som af lagen är tillförsäkrad att innehafva enskild egendom, för den händelse, att denna egendom icke genom äktenskapsförord eller annat stadgande om densamma blifvit undantagen från mannens förvaltning, skall sakna de rättsmedel, som erfordras för att värja sin rätt och försvara sina intressen.</w:t>
        <w:br/>
        <w:br/>
        <w:t xml:space="preserve">Om en gift </w:t>
      </w:r>
      <w:r>
        <w:rPr>
          <w:b/>
        </w:rPr>
        <w:t>kvinna¹</w:t>
      </w:r>
      <w:r>
        <w:rPr>
          <w:b w:val="0"/>
        </w:rPr>
        <w:t xml:space="preserve"> kommer till en jurist och frågar: är jag myndig? skall han helt visst svara: ja, i princip har gift </w:t>
      </w:r>
      <w:r>
        <w:rPr>
          <w:b/>
        </w:rPr>
        <w:t>kvinna¹</w:t>
      </w:r>
      <w:r>
        <w:rPr>
          <w:b w:val="0"/>
        </w:rPr>
        <w:t xml:space="preserve"> en sådan rättsställning, att </w:t>
      </w:r>
      <w:r>
        <w:rPr>
          <w:b/>
        </w:rPr>
        <w:t>hon²</w:t>
      </w:r>
      <w:r>
        <w:rPr>
          <w:b w:val="0"/>
        </w:rPr>
        <w:t xml:space="preserve"> måste anses vara myndig. Om det nu är en domare, som gifvit detta svar, och </w:t>
      </w:r>
      <w:r>
        <w:rPr>
          <w:b/>
        </w:rPr>
        <w:t>hon²</w:t>
      </w:r>
      <w:r>
        <w:rPr>
          <w:b w:val="0"/>
        </w:rPr>
        <w:t xml:space="preserve"> tager honom på orden och säger: vill ni då utfärda ett myndighetsbevis för mig, hvilket jag behöfver för idkande af handel; nej, då drager han sig undan; något rent myndighetsbevis kan han icke utfärda, utan måste göra en lång omskrifning och utfärda ett bevis af innehåll, att »</w:t>
      </w:r>
      <w:r>
        <w:rPr>
          <w:b/>
        </w:rPr>
        <w:t>hon²</w:t>
      </w:r>
      <w:r>
        <w:rPr>
          <w:b w:val="0"/>
        </w:rPr>
        <w:t xml:space="preserve"> icke blifvit under särskild förmyndare ställd, utan äger med den rätt, som lag medgifver gift </w:t>
      </w:r>
      <w:r>
        <w:rPr>
          <w:b/>
        </w:rPr>
        <w:t>kvinna¹</w:t>
      </w:r>
      <w:r>
        <w:rPr>
          <w:b w:val="0"/>
        </w:rPr>
        <w:t>, råda öfver sig och sin egendom&gt;. Men det ligger icke klart besked i denna omskrifning, som man får välja för att ändock gifva något bevis af det slag, som begäres och med hvilket sökanden nu måste nöja sig.</w:t>
        <w:br/>
        <w:br/>
        <w:t>Alla äro nu emellertid med om att en lagändring bör ske,</w:t>
        <w:br/>
        <w:br/>
        <w:t xml:space="preserve">men hvarför då icke taga steget fullt ut och gifva den gifta </w:t>
      </w:r>
      <w:r>
        <w:rPr>
          <w:b/>
        </w:rPr>
        <w:t>kvinnan¹</w:t>
      </w:r>
      <w:r>
        <w:rPr>
          <w:b w:val="0"/>
        </w:rPr>
        <w:t xml:space="preserve"> Angående änden rättsliga ställning, som </w:t>
      </w:r>
      <w:r>
        <w:rPr>
          <w:b/>
        </w:rPr>
        <w:t>hon²</w:t>
      </w:r>
      <w:r>
        <w:rPr>
          <w:b w:val="0"/>
        </w:rPr>
        <w:t xml:space="preserve"> verkligen förtjänar och hvarigenom dre eRe lagen också skulle blifva fullt klar och tydlig? Följer man åter FR lagutskottets anvisning, då kommer man icke till den klara ståndbalken m. m. punkt, som jag anser vara så nödvändig. Af de två reservatio- = (Forts.) nerna finner jag herr Zetterstrands i några punkter något för vid, och jag vill därför hellre vara med om den reservation, som afgifvits af herr Lindhagen och friherre Bonde. I denna reservation får man det förlösande ord, efter hvilket man trängtat; och följer man den anvisning, som där gifvits, kommer man: till en klar och tydlig ståndpunkt och man blir befriad från det ovisshetsoch oefterrättlighetstillstånd, som nu råder.</w:t>
        <w:br/>
        <w:br/>
        <w:t>På grund af hvad jag sålunda anfört, kommer jag att gifva min röst för dessa båda herrars reservation, till hvilken jag, herr talman, alltså ber att få yrka bifall.</w:t>
      </w:r>
    </w:p>
    <w:p>
      <w:pPr>
        <w:pStyle w:val="Heading2"/>
      </w:pPr>
      <w:r>
        <w:t>6. Wilhelm Styrlander (–, man)</w:t>
      </w:r>
    </w:p>
    <w:p>
      <w:r>
        <w:rPr>
          <w:b w:val="0"/>
        </w:rPr>
        <w:t xml:space="preserve">Då jag på grund af ledighet från riksdagsgöromålen icke varit närvarande vid ärendets slutliga behandling i utskottet eller betänkandets justering, ber jag att till protokollet få antecknadt, att jag naturligtvis icke är med om utskottets utlåtande, utan i allo sluter mig till herr Lindhagens och friherre Bondes reservation. I likhet med dem anser jag, att denna skrifvelse bör uttala en bestämd princip, nämligen principen, att mannens målsmanskap, utom hvad beträffar hans allmänna förvaltningsrätt öfver makarnes egendom, bör upphöra, och gift </w:t>
      </w:r>
      <w:r>
        <w:rPr>
          <w:b/>
        </w:rPr>
        <w:t>kvinna¹</w:t>
      </w:r>
      <w:r>
        <w:rPr>
          <w:b w:val="0"/>
        </w:rPr>
        <w:t xml:space="preserve"> följaktligen uttryckligen förklaras myndig lika väl som ogift </w:t>
      </w:r>
      <w:r>
        <w:rPr>
          <w:b/>
        </w:rPr>
        <w:t>kvinna¹</w:t>
      </w:r>
      <w:r>
        <w:rPr>
          <w:b w:val="0"/>
        </w:rPr>
        <w:t>. Jag ber att särskildt få understryka de skäl för antagande af herr Lindhagens och friherre Bondes reservation, som hafva anförts af lagutskottets ärade vice ordförande, nämligen att, om en sammanjämkning möjligen här skulle komma till stånd, man då skulle komma till herr Zetterstrands reservation, och den går dock betydligt längre än lagutskottet.</w:t>
        <w:br/>
        <w:br/>
        <w:t>På dessa grunder och särskildt med anslutning till de skäl, som herr Lindhagen uttalade, ber jag, herr talman, att få yrka bifall till herr Lindhagens och friherre Bondes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