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936</w:t>
      </w:r>
    </w:p>
    <w:p>
      <w:r>
        <w:rPr>
          <w:b/>
        </w:rPr>
        <w:t xml:space="preserve">Datum: </w:t>
      </w:r>
      <w:r>
        <w:t>1903-04-14</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David Holmgren (–, man)</w:t>
      </w:r>
    </w:p>
    <w:p>
      <w:r>
        <w:rPr>
          <w:b w:val="0"/>
        </w:rPr>
        <w:t>Herr talman, mina. herrar! Såsom af det föreliggande betänkandet framgår, har konstitutionsutskottet afstyrkt min motion därom, att regeringsformens 30 8 måtte ändras därhän, att församlingarne måtte få rätt att öfva större inflytande på tillsättandet af prästerliga tjänster, särskildt kyrkoherdebeställningarne i församlingarne, hvaraf då skulle bli en följd, att Konungens rätt att tillsätta präster i regala pastorat skulle upphöra, och att alla pastorat skulle blifva af samma natur eller konsistoriella pastorat. Något egentligt skäl för detta afstyrkande har konstitutionsutskottet icke presterat. I stället för att upptaga till vederläggning de af mig anförda missförhållanden, som äga rum därmed, att Kungl: Maj:t har denna utnämningsrätt, har konstitutionsutskottet uttalat en uppfattning, ett naket påstående, och ansett, att detta påstående skulle vara nog för att visa, att de af mig anförda skälen för denna reform</w:t>
        <w:br/>
        <w:br/>
        <w:t>utan äfven underhaltiga. Jag har emellertid tillåtit mig uppvisa, till hvilka ganska förskräckliga orimligheter Konungens utnämningsrätt leder, till missnöje i församlingarne och till likgiltighet för statskyrkoinstitutionen. Jag har icke velat särskildt specificera dessa många missförhållanden, emedan jag antog såsom gifvet, att de fleste inom kammaren hade genom egen erfarenhet kommit till kunskap och insikt om, att församlingarne i många fall, då Konungen utnämnt präster i regala pastorat, fått lida afbräck.</w:t>
        <w:br/>
        <w:br/>
        <w:t>Jag frågar: hvilka skäl för en saks befogenhet fordrar då konstitutionsutskottet för att upptaga dem till kritik och vederläggning? Sådana skäl torde vara omöjliga att prestera.</w:t>
        <w:br/>
        <w:br/>
        <w:t>Det har inträffat under de sist förflutna åren, att det t. ex. varit tre präster uppförda på förslag till besättande af ledig kyrkoherdebeställning i regalt pastorat, och att församlingen tydligt gifvit till känna sin mening genom att kalla fjärde profpredikant, men att Kungl. Maj:t likväl — senast år 1899 — utnämnt en af de föreslagne, som icke fått en enda röst, under det att den fjärde profpredikanten, som fått ett öfvervägande antal röster, hvaraf framgick, att han hade församlingens nästan odelade sympatier, blef förbigången. Den åter, om hvilken församlingen på det mest otvetydiga sätt gifvit till känna, att den icke ville ha honom till församlingslärare, den, som icke fått en enda fyrk, han blef utnämnd.</w:t>
        <w:br/>
        <w:br/>
        <w:t>Det inträffade för icke mera än tre år sedan, att en församling med öfvervägande röstetal kallade till sin kyrkoherde en person, och då emellertid detta val blifvit upphäfdt på grund af något formfel samt nytt val och ny frågodag utsatts, fick samma person ånyo lika många röster som förut eller 12,000 fyrk, men det oaktadt skickade Kungl. Maj:t på församlingen en person, som var för densamma fullkomligt okänd. Det förefaller mig alldeles uppenbart, att upprepade sådana utnämningar i hög grad alstra missnöje hos församlingarne och ovilja mot statskyrkan, då en del af dess medlemmar icke få utöfva den rätt att kalla pastor och själasörjare, som allt ifrån början tillkommit församlingarne. Det kan nämligen icke kännas annat än såsom en skriande orättvisa, att det skall finnas omkring 700 församlingar, där församlingen själf har det största inflytande på tillsättandet af präst, medan åter 500 eller, om man räknar med de patronella pastoraten, 580 församlingar icke skola hafva det ringaste inflytande på tillsättandet af pastor, och dock aflönas såväl de regala som de konsistoriella pastoratens kyrkoherdar af församlingen. Också har det vid tillsättandet af präster i de regala pastoraten allt mer och mer visat sig, att de valberättigade icke infunnit sig på frågodagen och valdagen, emedan vederbörande fått erfara, att man icke tager någon hänsyn till deras önskningar, utan skickar på församlingen alldeles främmande</w:t>
        <w:br/>
        <w:br/>
        <w:t>personer. Det är för detta berättigade missnöje och denna känsla Ang. ändring af orättvisa, som förefinnes bland vårt folk, för hvilka jag gjort 2f$ 539 mig till tolk, då jag väckt denna motion. Motioner i samma "förmer. syfte hafva väckts två gånger förut, och vid båda tillfällena hafva Forts.) de afstyrkts af konstitutionsutskottet, men dock blifvit af denna,</w:t>
        <w:br/>
        <w:br/>
        <w:t>den folkvalda kammaren godkända, och kammaren har således förklarat sig villig att vidtaga en ändring af 30 8 regeringsfor-</w:t>
        <w:br/>
        <w:br/>
        <w:t>men i det syftet därhän, att församlingarne måtte få större inflytande, än hvad nu är fallet vid tillsättande af präster. När motionen år 1896 var före här i kammaren, hade konstitutionsutskottet naturligtvis också afstyrkt densamma, men då var vid utskottets betänkande fogad en reservation af herrar Ljungman, Boström, Dahn, Gyllensvärd, Vahlin, Nilsson, Liljeholm och Hans-</w:t>
        <w:br/>
        <w:br/>
        <w:t>son i det syfte, att 8 30 regeringsformen skulle ändras i den riktningen, att prästerliga befattningar skulle tillsättas på sätt i</w:t>
        <w:br/>
        <w:br/>
        <w:t>särskild lag stadgades. Nu har konstitutionsutskottet erkänt,</w:t>
        <w:br/>
        <w:br/>
        <w:t>att min motion går i samma riktning, och därför bör jag väl</w:t>
        <w:br/>
        <w:br/>
        <w:t>kunna påräkna, att, då Andra Kammaren åren 1896 och 1897 godkände denna motion och erkände det berättigade i densam-</w:t>
        <w:br/>
        <w:br/>
        <w:t>ma, kammaren äfven nu måtte lämna sitt bifall till min motion.</w:t>
        <w:br/>
        <w:br/>
        <w:t>Vid detta tillfälle förelåg en reservation, som är af ett visst in-</w:t>
        <w:br/>
        <w:br/>
        <w:t>tresse. Den är afgifven af herr A. Olsson, hvilken många af</w:t>
        <w:br/>
        <w:br/>
        <w:t>oss minnas såsom en aktad ledamot af denna kammare. Hans reservation innehåller bland annat följande.</w:t>
        <w:br/>
        <w:br/>
        <w:t xml:space="preserve">»I ”Schmalkaldiska Artiklarne' hafva kyrkans reformatorer, rörande församlingarnes rätt att kalla präster, uttalat sin på Guds ord grundade uppfattning på följande sätt: »Hvarest församling är, där har man ock rätt att predika evangelium; hvarföre det är nödigt, att församlingen behåller sin rätt att kalla, välja och ordinera präster. Och denna rätt är en skänk, som egentligen är församlingen gifven, hvilken </w:t>
      </w:r>
      <w:r>
        <w:rPr>
          <w:b/>
        </w:rPr>
        <w:t>henne²</w:t>
      </w:r>
      <w:r>
        <w:rPr>
          <w:b w:val="0"/>
        </w:rPr>
        <w:t xml:space="preserve"> icke kan fråntagas af något mänskligt välde; såsom ock Paulus vitnar, sägande: Han är uppstigen i höjden och hafver gifvit människorna gåfvor.»</w:t>
        <w:br/>
        <w:br/>
        <w:t>Som jag anser, att den kyrkliga lagstiftningen bör vara i öfverensstämmelse med kyrkans lära, har jag yrkat bifall till det af herr Ljungman framställda förslaget i den afsikt, att genom en förändring af $ 30 i regeringsformen ett hinder måtte undanröjas för en lagstiftning i öfverensstämmelse med kyrkans bekännelse.»</w:t>
        <w:br/>
        <w:br/>
        <w:t>Jag vet nu mycket väl, att herrar ledamöter af denna kammare icke ägna mycken uppmärksamhet åt våra bekännelseskrifter, men jag har dock velat fästa uppmärksamheten därpå, att det förut funnits ledamöter af konstitutionsutskottet, som hafva ägnat våra symbola en viss uppmärksamhet och hyst en varm önskan, att dessa åtminstone i kyrkliga frågor måtte äga en lika stor betydelse som våra grundlagar.</w:t>
        <w:br/>
        <w:br/>
        <w:t>Innan jag slutar, vill jag fästa herrarnes uppmärksamhet</w:t>
        <w:br/>
        <w:br/>
        <w:t>så synnerligen måna om att bevara våra grundlagar, har man emellertid genom prästvalsförordningen rent af tagit ifrån församlingarna en rätt, som i regeringsformens 30 8 tillerkännes de konsistoriella församlingarne. Då nämligen de konsistoriella församlingarne erhållit rätt att kalla fjärde profpredikant, har genom prästvalsförordningen deras egenskap af konsistoriella blifvit borteliminerad, så att de öfvergått till regala. I detta fall synes man således icke hafva rätt vårdat sig om grundlagens bestämmelse, att den icke kan af andra lagar rubbas.</w:t>
        <w:br/>
        <w:br/>
        <w:t>Jag förstår såväl kammarens otålighet att öfvergå till andra ämnen, att jag icke vidare skall taga kammarens uppmärksamhet i anspråk, (jag hade nästan väntat att om icke för annat, dock för detta löftet erhålla bravorop). Jag skall därför inskränka mig till att på prund af den omständigheten, att andra kammaren två gånger biträdt den mening, som är inlagd i motionen och dess syfte, och då konstitutionsutskottet icke anfört något det minsta skäl för sitt afstyrkande af motionen utöfver det att en kommitté skulle vara af Kungl. Maj:t tillsatt för att ordna prästerskapets löner — en omständighet, som icke mera sammanhänger med tillsättande af präster än en lag jag vet icke hvilken, jag finner ingen brygga, hvarigenom jag kan se något sammanhang i detta — jag inskränker mig till att under sådana förhållanden yrka, herr talman, afslag på konstitutionsutskottets föreliggande hemställan och bifall till min motion.</w:t>
      </w:r>
    </w:p>
    <w:p>
      <w:pPr>
        <w:pStyle w:val="Heading2"/>
      </w:pPr>
      <w:r>
        <w:t>2. Fredrik Barnekow (Lantmannapartiet, man)</w:t>
      </w:r>
    </w:p>
    <w:p>
      <w:r>
        <w:rPr>
          <w:b w:val="0"/>
        </w:rPr>
        <w:t>Herr talman, mina herrar! Då jag varit med om det slut, hvartill utskottet kommit, ber jag att få försvara utskottet.</w:t>
        <w:br/>
        <w:br/>
        <w:t>Jsg har icke kunnat vara med om motiveringen, och anledningen därtill är, att hela motiveringen innehåller detta: »De skäl, som nu förebragts, hafva emellertid ej varit af den beskaffenhet, att konstitutionsutskottet vid innevarande års riksdag funnit sig böra frångå den uppfattning i frågan, som utskottet uttalat vid riksdagarna år 1896 och år 1897.&gt; Men vid 1897 års riksdag var jag reservant, och föjaktligen är det omöjligt för mig att godkänna motiveringen. I utskottet hade många i likhet med mig den uppfattningen, att församlingens rätt att välja präst ingalunda borde inskränkas, utan såsom motionären önskat utsträckas, men icke på det sätt motionären föreslagit, utan utskottets minoritet hyste den uppfattningen, att utskottet mycket väl kunde afgöra frågan utan skrifvelse till Kungl. Maj:t och då närmast i öfverensstämmelse med förslaget år 1897. Men ett sådant förslag kunde ju icke framkomma och upptagas af en minoritet inom utskottet.</w:t>
        <w:br/>
        <w:br/>
        <w:t>Nu säger man, att vid tillsättandet af präster ofta förekomma så mycket intriger, att det vore bättre, att staten tillsatte dem.</w:t>
        <w:br/>
        <w:br/>
        <w:t>Men, mina herrar, skulle man borttaga alla tillfällen till intriger Ang. ändring</w:t>
        <w:br/>
        <w:br/>
        <w:t>och alla samfund, där intriger finnas, skulle vi kanhända till och med få upplösa själfva Riksdagen. :Får emellertid församlingen själf välja sin präst, bär den också ansvaret för hvem den väljer. Därför ville jag i utskottet vara med om utsträckning af församlingens rätt att välja präst, fastän icke i den form, hvari motionen är framlagd.</w:t>
        <w:br/>
        <w:br/>
        <w:t>Jag yrkar således i likhet med utskottet afslag på motionen.</w:t>
      </w:r>
    </w:p>
    <w:p>
      <w:pPr>
        <w:pStyle w:val="Heading2"/>
      </w:pPr>
      <w:r>
        <w:t>3. Göran Lindgren (Utan partibeteckning, man)</w:t>
      </w:r>
    </w:p>
    <w:p>
      <w:r>
        <w:rPr>
          <w:b w:val="0"/>
        </w:rPr>
        <w:t>Herr talman, mina herrar! Det går i dessa dagar ett rop — man kan säga ett förtviflans rop — genom vårt land, och detta rop höres allra mest i hufvudstaden. Det kommer från den ena hälften af människosläktet, — jag kanske vågar säga från den bättre hälften och från denna hälfts allra bästa del, det kommer från våra ädla, varmhjärtade</w:t>
        <w:br/>
        <w:br/>
      </w:r>
      <w:r>
        <w:rPr>
          <w:b/>
        </w:rPr>
        <w:t>kvinnor¹</w:t>
      </w:r>
      <w:r>
        <w:rPr>
          <w:b w:val="0"/>
        </w:rPr>
        <w:t xml:space="preserve">, från våra rättänkande </w:t>
      </w:r>
      <w:r>
        <w:rPr>
          <w:b/>
        </w:rPr>
        <w:t>mödrar²</w:t>
      </w:r>
      <w:r>
        <w:rPr>
          <w:b w:val="0"/>
        </w:rPr>
        <w:t xml:space="preserve">, </w:t>
      </w:r>
      <w:r>
        <w:rPr>
          <w:b/>
        </w:rPr>
        <w:t>hustrur²</w:t>
      </w:r>
      <w:r>
        <w:rPr>
          <w:b w:val="0"/>
        </w:rPr>
        <w:t xml:space="preserve">, </w:t>
      </w:r>
      <w:r>
        <w:rPr>
          <w:b/>
        </w:rPr>
        <w:t>systrar²</w:t>
      </w:r>
      <w:r>
        <w:rPr>
          <w:b w:val="0"/>
        </w:rPr>
        <w:t xml:space="preserve"> och </w:t>
      </w:r>
      <w:r>
        <w:rPr>
          <w:b/>
        </w:rPr>
        <w:t>döttrar²</w:t>
      </w:r>
      <w:r>
        <w:rPr>
          <w:b w:val="0"/>
        </w:rPr>
        <w:t xml:space="preserve">. Det kommer från dem, som icke ha någon rösträtt och icke säte eller stämma i Riksdagen. Och därför må vi föra deras talan. I detta förtviflans rop instämma också de flesta rättänkande och sedliga män. Hvad säger då detta rop? Det säger: Bort med reglementeringen! Bort med prostitutionen! Våra ädla </w:t>
      </w:r>
      <w:r>
        <w:rPr>
          <w:b/>
        </w:rPr>
        <w:t>kvinnor¹</w:t>
      </w:r>
      <w:r>
        <w:rPr>
          <w:b w:val="0"/>
        </w:rPr>
        <w:t xml:space="preserve"> höja detta rop till förmån för sina förtrampade och vilseledda </w:t>
      </w:r>
      <w:r>
        <w:rPr>
          <w:b/>
        </w:rPr>
        <w:t>systrar²</w:t>
      </w:r>
      <w:r>
        <w:rPr>
          <w:b w:val="0"/>
        </w:rPr>
        <w:t>, som trampas ned i smutsen så, att de förlora sin mänskliga värdighet och bli till intet, förtrampas och behandlas som slafvinnor, som köpas och säljas.</w:t>
        <w:br/>
        <w:br/>
        <w:t>Det kan icke vara rätt att reglementera en last, en synd. Otuktslasten är en synd. Man reglementerar icke, att folk får dräpa eller stjäla, utan det förbjudes och bestraffas helt enkelt. Må då också prostitutionen (otuktssynden) förbjudas i alla dess former. Den är förbjuden i Guds lag och i svensk lag. Guds heliga bud förbjuder denna synd. Då går det icke an att reglementera densamma, äfven om det vore på det allra mest humana sätt. Denna reglementering är i alla händelser vid sidan af svensk lag, den måste vara olaglig. Och det duger icke att ha sådana stadgar eller lagar bredvid lagen, som tillåta synd och last, snart sagdt reglementerar synden. Det passar icke i ett land, som kallas kristet, icke ibland oss, som kalla oss kristna.</w:t>
        <w:br/>
        <w:br/>
        <w:t>För min del är jag mycket tacksam mot de varmhjärtade motionärer, som framburit den föreliggande motionen. Man väntar sig däraf ganska mycket, man väntar rent af mera än de begärt, man väntar reglementeringens upphäfvande i såväl hufvudstaden som i andra städer, som redan börjat följa hufvudstadens dåliga exempel i detta hänseende. Men man skulle hafva önskat, att motionärerna gått ännu längre. För min del skulle jag och många med mig vilja gå ända därhän att förbjuda reglementeringen och sålunda upphäfva prostitutionen; ty det kan väl icke förnekas, att denna reglementeringsstadga, som skall skydda de felande från följderna af deras synd, icke skyddar; och att den uppmuntrar till otukt, torde också vara en känd sak.</w:t>
        <w:br/>
        <w:br/>
        <w:t xml:space="preserve">Sedan den stackars </w:t>
      </w:r>
      <w:r>
        <w:rPr>
          <w:b/>
        </w:rPr>
        <w:t>kvinnan¹</w:t>
      </w:r>
      <w:r>
        <w:rPr>
          <w:b w:val="0"/>
        </w:rPr>
        <w:t xml:space="preserve"> blifvit offer för den osedliga och lättsinnige mannen, går han sin väg lugnt fram, ostraffad, bärande hufvudet högt, och sökande nya offer, men dessa fallna, förförda </w:t>
      </w:r>
      <w:r>
        <w:rPr>
          <w:b/>
        </w:rPr>
        <w:t>kvinnor¹</w:t>
      </w:r>
      <w:r>
        <w:rPr>
          <w:b w:val="0"/>
        </w:rPr>
        <w:t xml:space="preserve">, de skola ensamt lida, de skola förtrampas, föraktas, inskrifvas med våld i byrån, öfvervakas, besiktigas, hämtas af polis, skickas till tukthus och fängelse och behandlas nästan såsom boskap. Detta kan omöjligen vara rättvist. Det talas om rätt och det talas om moral i motionen. Det måste vara orättvist och omoraliskt att behandla endast den ena parten — nämligen </w:t>
      </w:r>
      <w:r>
        <w:rPr>
          <w:b/>
        </w:rPr>
        <w:t>kvinnan¹</w:t>
      </w:r>
      <w:r>
        <w:rPr>
          <w:b w:val="0"/>
        </w:rPr>
        <w:t xml:space="preserve"> — såsom det sker, och det är icke alls underligt, att dessa stackars förtrampade och förtappade varelser utan utsikt till räddning sedan blifva de mest råa och hänsynslösa människor, som i sin tur gärna vilja fördärfva unge män</w:t>
        <w:br/>
        <w:br/>
        <w:t>— och äldre också för resten — för att på sådant sätt rent af hämnas på människosläktet, som de hata af hela sitt hjärta, ty de anse sig förtrampade, förlorade och tro sig icke kunna blifva upprättade. . Och detta är icke underligt, ty de äro snart sagdt utstötta från allt umgänge och sällskap med hederliga, goda människor, med undantag af sådana, som vilja offra sig för att rädda dem — och de äro ganska få, som hafva tid, krafter och förutsättningar att sysselsätta sig med detta viktiga, men ganska otacksamma arbete.</w:t>
        <w:br/>
        <w:br/>
        <w:t>Det talas i motionen om att hygieniska åtgärder äro nödvändiga, och det är alldeles riktigt. Jag tror dock, att det är en känd sak, — att reglementeringen icke skyddar, och det är alldeles klart, att den icke heller kan göra det, då reglementeringen blott omfattar den ena parten, hvilket, som redan är sagdt, är både oriktigt och orättvist. Skall smitta förekommas, måste båda parterna behandlas, och reglementering kan ju icke skydda ändå. Det kan man ju också godt förstå, ty man kan vara bra den ena dagen, men sjuk den andra, och så sprider man smittosam sjukdom, synd och elände.</w:t>
        <w:br/>
        <w:br/>
        <w:t xml:space="preserve">Dessa stackars fallna </w:t>
      </w:r>
      <w:r>
        <w:rPr>
          <w:b/>
        </w:rPr>
        <w:t>kvinnor¹</w:t>
      </w:r>
      <w:r>
        <w:rPr>
          <w:b w:val="0"/>
        </w:rPr>
        <w:t xml:space="preserve"> anse sig ju ock hafva full rätt att uppträda och utbjuda sig på gator och gränder. De få också utan att straffas göra det, blott de följa reglementet; och de söka också och lyckas tyvärr alltför ofta locka och förleda många unge män — och äfven äldre — hvilka icke alls tänkte på att begå en sådan handling vid detta tillfälle, och så draga de dem med sig till sina dåliga mörka nästen och i fördärfvet. Det kan icke vara rätt, att sådant tillåtes och till och med uppmuntras genom reglementeringen. Att denna reglementering icke skyddar, det tror jag, att vi lätt kunna finna äfven därutaf, att inom hufvudstaden finnes mer än hälften af de veneriskt sjuka i vårt land, fastän hufvudstaden icke rymmer mer än en sjuttondedel af landets invånare — och ändå har ju hufvudstaden den mest genomförda reglementeringen.</w:t>
        <w:br/>
        <w:br/>
        <w:t>Jag tror, att otuktslasten skulle bra mycket minskas hos oss, om reglementeringen upphäfdes. Låtom oss — så vidt möjligt är — rycka upp det onda med rötterna. Att vi icke kunna helt få bort otukten, förstår jag mer än väl, men vi kunna åtminstone förbjuda eller icke tåla den i stället för att, såsom nu är fallet, snart sagdt omhulda den. För resten straffar synden sig själf och blifver ytterligare straffad. Den, som vill bedrifva denna synd och vågar sig åstad, får också bära risken och lida följderna, men må vi göra allt vi kunna för att hindra och varna. Det kan icke vara samhällets skyldighet eller ens rättighet att för osedliga och lättsinniga — mången gång nästan djuriska” män tillhandahålla friskt materiel för att tillfredsställa deras dåliga lidelser. Samhället får dock i alla fall taga vara på spillrorna och kosta på sjukvård, fattigvård, fängelse och hospitalsvård med</w:t>
        <w:br/>
        <w:br/>
        <w:t xml:space="preserve">mera sådant. Att samhället rent af är behjälpligt att undan för undan anskaffa nytt materiel kan icke vara riktigt. Må vii stället straffa all otukt. Det finnes redan en lag, enligt hvilken man verkligen kan göra det, åtminstone hvad prostitutionen beträffar, och om denna lag icke är tillräcklig, låtom oss då skärpa densamma eller stifta en ny för att kraftigt kunna bekämpa och bestraffa otuktssynden ibland oss. Men må denna lag drabba såväl män som </w:t>
      </w:r>
      <w:r>
        <w:rPr>
          <w:b/>
        </w:rPr>
        <w:t>kvinnor¹</w:t>
      </w:r>
      <w:r>
        <w:rPr>
          <w:b w:val="0"/>
        </w:rPr>
        <w:t xml:space="preserve">, ty någonting annat är icke rättvist. Må hvar och en man eller </w:t>
      </w:r>
      <w:r>
        <w:rPr>
          <w:b/>
        </w:rPr>
        <w:t>kvinna¹</w:t>
      </w:r>
      <w:r>
        <w:rPr>
          <w:b w:val="0"/>
        </w:rPr>
        <w:t>, som är veneriskt sjuk eller misstänkt för att vara behäftad med sådan smittosam sjukdom, varda ålagd att vårdas på sjukhus, ja, till och med med tvång, och må den vården vara fri, åtminstone för obemedlade och mindre bemedlade. Må vi vidare stadga strängt straff för dem, som på ett eller annat sätt sprida dessa förfärliga smittosamma sjukdomar genom vårdslöshet eller otukt.</w:t>
        <w:br/>
        <w:br/>
        <w:t>Man har i dessa dagar äfven talat mycket om hvad man skall sätta i stället för reglementeringen och prostitutionen. Men om vi hafva en orättfärdig lag eller stadga och dåliga seder, som strida mot sanning, rättvisa och moral, icke behöfva vi väl då sätta något annat i stället, om vi upphäfva en sådan stadga och med all kraft motarbeta sådana seder. Vill man emellertid hafva någonting i stället, så må det blifva upplysning — upplysning i vida kretsar om den fara, som man utsätter sig för genom otuktslasten, samt att man därmed bryter emot både gudomlig och mänsklig lag. Må vi äfven söka arbeta för att få egna hem så tidigt som möjligt och för öfrigt sätta i stället renhet, sedlighet och gudsfruktan.</w:t>
        <w:br/>
        <w:br/>
        <w:t>Jag har naturligtvis intet annat yrkande att framställa än bifall till utskottets hemställan, och jag har ej heller anledning att yrka något annat, ty hvad utskottet föreslagit är så vidsträckt, att på grund däraf mycket väl kan framkomma ett förslag att totalt upphäfva reglementeringen, hvilken, som sagdt, är olaglig. Jag hoppas äfven, att ett sådant förslag framkommer från de sakkunnige.</w:t>
        <w:br/>
        <w:br/>
        <w:t>Emellertid har jag känt mig skyldig och pliktig att nu uttala dessa tankar, till den kraft och verkan det hafva kan, och jag skulle vilja, utöfver hvad som är sagdt i motionen och utskottets hemställan, framhålla följande önskemål: att de blifvande sakkunniga måtte arbeta i det syftet, att hela den godtyckliga och förhatliga reglementeringen måtte blifva upphäfd; att all otukt strängt beifras och bestraffas genom nya skärpta lagar, om så behöfves, så beskaffade, att den, som genom otukt eller vårdslöshet smittar en annan med venerisk sjukdom, måtte strängt straffas; aft de, som äro med sådana smittosamma sjukdomar behäftade, åläggas sjukvård, äfven genom tvång, där så erfordras; att fri vård måtte lämnas sådana sjuka såväl obemedlade som mindre bemedlade; samt att de bestämmelser, som i ofvan-</w:t>
        <w:br/>
        <w:br/>
        <w:t xml:space="preserve">nämnda hänseenden stadgas, måtte gälla icke blott </w:t>
      </w:r>
      <w:r>
        <w:rPr>
          <w:b/>
        </w:rPr>
        <w:t>kvinnor¹</w:t>
      </w:r>
      <w:r>
        <w:rPr>
          <w:b w:val="0"/>
        </w:rPr>
        <w:t>, utan äfven män. Dessa tankar har jag, herr talman, vid detta tillfälle velat uttala.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936</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