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941</w:t>
      </w:r>
    </w:p>
    <w:p>
      <w:r>
        <w:rPr>
          <w:b/>
        </w:rPr>
        <w:t xml:space="preserve">Datum: </w:t>
      </w:r>
      <w:r>
        <w:t>1903-05-13</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Emil Hammarlund (–, man)</w:t>
      </w:r>
    </w:p>
    <w:p>
      <w:r>
        <w:rPr>
          <w:b w:val="0"/>
        </w:rPr>
        <w:t>Herr talman! Innan vi gå att fatta beslut i den nu föredragna punkten, ber jag att få något starkare, än hvad som skett uti utskottets motivering, betona, att det här delvis gäller öfverflyttandet af ett anslag från 8:de till 10:de hufvudtiteln.</w:t>
        <w:br/>
        <w:br/>
        <w:t xml:space="preserve">Det förhåller sig nämligen på det sättet, att på 8:de hufvudtiteln utgår för närvarande ett anslag på 347,500 kronor såsom bidrag till högre skolor för lg ungdom. Af detta anslag äro, enligt Riksdagens i fjor fattade beslut, 10,000 kronor afsedda att utgöra bidrag till pensionsinrättningen för </w:t>
      </w:r>
      <w:r>
        <w:rPr>
          <w:b/>
        </w:rPr>
        <w:t>lärarinnor³</w:t>
      </w:r>
      <w:r>
        <w:rPr>
          <w:b w:val="0"/>
        </w:rPr>
        <w:t xml:space="preserve"> vid Sveriges högre skolor för </w:t>
      </w:r>
      <w:r>
        <w:rPr>
          <w:b/>
        </w:rPr>
        <w:t>kvinnlig¹</w:t>
      </w:r>
      <w:r>
        <w:rPr>
          <w:b w:val="0"/>
        </w:rPr>
        <w:t xml:space="preserve"> ungdom, motsvarande högst 30 kronor för</w:t>
        <w:br/>
        <w:br/>
        <w:t xml:space="preserve">hvarje delägare, som erlagt årsafgift. Nu har en annan pensionsinrättning, afsedd för de högre skolornas </w:t>
      </w:r>
      <w:r>
        <w:rPr>
          <w:b/>
        </w:rPr>
        <w:t>lärarinnor³</w:t>
      </w:r>
      <w:r>
        <w:rPr>
          <w:b w:val="0"/>
        </w:rPr>
        <w:t xml:space="preserve">, nämligen Svenska </w:t>
      </w:r>
      <w:r>
        <w:rPr>
          <w:b/>
        </w:rPr>
        <w:t>lärarinnornas³</w:t>
      </w:r>
      <w:r>
        <w:rPr>
          <w:b w:val="0"/>
        </w:rPr>
        <w:t xml:space="preserve"> pensionsförening, begärt ett liknande statsbidrag. Kungl. Maj:t har varit med härom, men på samma gång har Kungl. Maj:t ifrågasatt, att denna post skulle öfverflyttas från 8:de hufvudtiteln till den 10:de. Detta finner jag vara riktigt. Det är i sin ordning, att, då det är fråga om en pensionssak, anslaget icke utgår från 8:de hufvudtiteln, utan från den 10:de. Häremot har jag således ingenting att anmärka och ej heller har jag någonting att anmärka mot den föreslagna höjningen från 10,000 kronor till 19,000 kronor, på det att äfven Svenska </w:t>
      </w:r>
      <w:r>
        <w:rPr>
          <w:b/>
        </w:rPr>
        <w:t>lärarinnornas³</w:t>
      </w:r>
      <w:r>
        <w:rPr>
          <w:b w:val="0"/>
        </w:rPr>
        <w:t xml:space="preserve"> pensionsförening må få bidrag. Men jag har velat uttryckligen betona och framhålla, att af dessa 19,000 kronor, som vi nu gå att bevilja, 10,000 kronor förut äro uppförda på 8:de hufvudtiteln.</w:t>
        <w:br/>
        <w:br/>
        <w:t>Jag har velat framhålla detta, så att, då vi komma till den ännu icke afgjorda 15:de punkten under 8:de hufvudtiteln, — ty denna punkt är ännu icke afgjord — det då icke må sägas, att vi förbisett denna sak och här beviljat ett alldeles nytt anslag på 19,000 kronor och således icke då kunna göra minskning i de ordinarie anslagen under 8:de hufvudtiteln, ifall skäl finnes för ett dylikt yrkande. Jag hoppas, att utskottet icke förbiser detta, utan beaktar hvad statskontoret härvidlag framhållit.</w:t>
        <w:br/>
        <w:br/>
        <w:t>Under denna förhoppning och under betonande, att uti de 19,000 kronorna ingå 10,000 kronor, som förut uppförts under 8:de hufvudtiteln, har jag ingenting att invända mot den föredragna hemställan, utan ber att få yrka bifall härtill.</w:t>
      </w:r>
    </w:p>
    <w:p>
      <w:pPr>
        <w:pStyle w:val="Heading2"/>
      </w:pPr>
      <w:r>
        <w:t>2. Fredrik Barnekow (Lantmannapartiet, man)</w:t>
      </w:r>
    </w:p>
    <w:p>
      <w:r>
        <w:rPr>
          <w:b w:val="0"/>
        </w:rPr>
        <w:t>Herr talman, mine herrar! Då jag mottog detta utskottets betänkande, kände jag mig ledsen</w:t>
        <w:br/>
        <w:br/>
        <w:t xml:space="preserve">öfver att utskottet äfven i år afstyrkt min motion. Men när jag Ang. utredså läste motiveringen, vaknade hos mig ett nytt hopp. Den påning i fråga minte mig om något, som inträffade i början af min riksdagsverkom pension samhet. Då väckte jag en motion. Den remitterades till statsrd för folk utskottet, men statsutskottet afstyrkte densamma. Jag beklagade "högskolor. : mig då för en mycket framstående medlem af kammaren, som = (Forts) äfven var medlem af utskottet. Han sade: det är visserligen sant, | att motionen blifvit afstyrkt i klämmen, men den är tillstyrkt i motiveringen. Detta tyckte jag var litet underligt och begärde en förklaring. Han gaf då den förklaringen, att om man läste motiveringen, skulle man finna, att utskottet mycket vänligt omtalat denna motion och tillika gifvit en bestämd fingervisning, huru man skulle förhålla sig för framtiden för att få den antagen. Detta är just hvad utskottet härvidlag gjort, och därför är jag utskottet tacksam. Utskottet säger i början af motiveringen, att det finner goda skäl tala för min motion, och omnämner den i mycket vänliga ordalag. Därefter säger utskottet, att det icke vill tillstyrka motionen i den form, hvari den föreligger. Utskottet anser, att Riksdagen icke bör taga initiativ, utan att initiativet bör tagas af föreståndarne eller styrelserna för dessa skolor, och vidare gifver utskottet en bestämd fingervisning, i hvilken form det vill hafva den, och förordar särskildt ett sådant system som det i Svenska </w:t>
      </w:r>
      <w:r>
        <w:rPr>
          <w:b/>
        </w:rPr>
        <w:t>lärarinnornas³</w:t>
      </w:r>
      <w:r>
        <w:rPr>
          <w:b w:val="0"/>
        </w:rPr>
        <w:t xml:space="preserve"> pensionsförening tillämpade. Det är den ena fingervisningen. Vidare säger utskottet, att jämväl andra utvägar kunna tänkas leda till målet. Utskottet har således enligt mitt förmenande bestämdt sagt, att om motionen återkomme i en annan form, är utskottet villigt att tillstyrka bifall till densamma. Men, mine herrar, det är icke af någon särskild envishet, som jag yrkar på pension åt dessa folkhögskoleföreståndare, utan därför att jag i öfver 30 års tid varit ledamot i en folkhögskolas styrelse och sett, hvilket otroligt arbete dessa lärare hafva, och hvilket gagn och nytta dessa skolor åstadkomma, och därför anser jag, att det är nödvändigt, att dessa skolor fortfarande uppehållas, så att de kunna drifva sin verksamhet på samma sätt som hittills. Och det är det jag befarar icke skulle kunna ske, om icke föreståndarne få någon pension. Pensionssystemet är här i landet så utveckladt. Så t. ex. gifver staten alla sina tjänstemän pension. Jag vill icke tala om enskilda personer eller bolag, som aflöna sina tjänstemän och direktörer så högt. Till och med om ett bolag icke kan gifva någon utdelning, sitta dessa bolagsdirektörer med höga löner och pensioner. Och en sådan institution som hypoteksföreningarna, hvilkas medlemmar uteslutande äro skuldsatta landtbrukare, äfven dessa hafva funnit för godt att gifva ension åt sina tjänstemän. Under sådana förhållanden är det klart, att, om våra folkhögskolor icke ha förmåga att aflöna sina tjänstemän med höga löner och icke ge dem pension, det kan komma att inträffa, att det blir svårt att få dugliga föreståndare; och på dessa personers förmåga och skicklighet beror till en stor del skolans anseende.</w:t>
        <w:br/>
        <w:br/>
        <w:t>Att nu yrka bifall till motionen kan icke gärna komma i fråga, då den enhälligt afstyrkts af utskottet och sannolikt afslagits af Första Kammaren. Men jag hoppas, att, om kammaren godkänner utskottets motivering, den också skall erkänna, att jag i denna utskottets motivering har fullt fog att en annan gång återkomma med motion i ämnet. Och då hoppas jag, att alla folkhögskolans vänner, hvilka jag tror i denna kammare äro många, skola lämna densamma ett kraftigt understöd.</w:t>
        <w:br/>
        <w:br/>
        <w:t>I detta anförande instämde herrar von Schéele, Ernst Carlson, Persson i Arboga, Hellman, Nilsson i Bonarp, Wavrinsky i Stockholm, Ericsson i Ahlberga, Sandin, Hammarlund, Sterner, Broomé i Bårslöf, Thylander, Johansson i Jönköping, Hörnstén, Berg i Stockholm, Carlheim-Gyllensköld, Johansson i Öija och Kronlund.</w:t>
      </w:r>
    </w:p>
    <w:p>
      <w:pPr>
        <w:pStyle w:val="Heading2"/>
      </w:pPr>
      <w:r>
        <w:t>3. Folke Andersson (–, man)</w:t>
      </w:r>
    </w:p>
    <w:p>
      <w:r>
        <w:rPr>
          <w:b w:val="0"/>
        </w:rPr>
        <w:t>Då jag är af samma åsikt som motionären, skall jag be att få yttra några ord i denna fråga.</w:t>
        <w:br/>
        <w:br/>
        <w:t>Vi veta, att våra folkskolor i begynnelsen haft mycket motstånd att bekämpa. Men det oaktadt hafva de nu spridt sig öfver hela vårt fosterland ända längst upp i norden. Och ingen af denna kammares ledamöter vill väl böteila, att deras verksamhet är nyttig och god för det uppväxande släktet och vårt fosterland. Vi hafva känt behof, icke allenast att folkskolan skulle få skickliga lärare, som den verkligen har, utan äfven att den ungdom, som har behof af bildning och törst efter upplysning, skulle få utveckla sig något mera. Därför var det, som vi ansågo, att det borde finnas folkhögskolor, där de kunde fa tillfälle att få mera kunskap och deras läslust och kunskapsbehof kunde utveckla sig, så att de sedan genom själfstudier måtte tillägna sig kunskaper. Skall detta kunna ske, måste vi hafva skickliga lärare. Ty våra folkhögskolor bero hufvudsakligen på föreståndarne. Om icke de äro skickliga och nitiska i sitt kall, kunna icke folkhögskolorna äga bestånd. Men om vi få skickliga och dugliga lärare, gå skolorna framåt och vinna folkets intresse, såsom vi sett hos oss och på flera andra ställen. Men skall detta kunna äga rum, måste dessa personers framtid tryggas. Ty då de hafva tillfälle att komma in vid elementarläroverken eller på andra banor, hafva de hopp om att få understöd på sin ålderdom. Men här hafva de icke något sådant. Här hafva de blott sitt intresse och lämnas åt sig själfva på ålderdomen. Detta går icke i längden. Jag tror, att de borde hafva något understöd likaväl som de öfriga, och min öfvertygelse är, att de äro lika förtjänta däraf som elementarlärarne och andra, som nu åtnjuta statsunderstöd.</w:t>
        <w:br/>
        <w:br/>
        <w:t>Jag må bekänna, att, då jag först läste detta utskottsbetänkade, jag tänkte, att det måste finnas många reservationer från Andra Kammarens ledamöter, men till min ledsnåd fann jag, att icke en Far från denna kammare hade reserverat sig mot utskottets örslag.</w:t>
        <w:br/>
        <w:br/>
        <w:t>Utskottet säger i sitt betänkande, att dessa lärare äro väl förtjänta af pensioner och att det bör tagas under öfvervägande, huru-</w:t>
        <w:br/>
        <w:br/>
        <w:t>vida icke de äfven böra erhålla sådana, men därefter kommer utskottet till det slut, att det afstyrker motionen. Detta är, såsom man säger, de obotfärdiges förhinder.</w:t>
        <w:br/>
        <w:br/>
        <w:t>Då förra året en liknande motion var före, afstyrkte utskottet densamma på den grund, att motionären icke anvisat någon väg, hvarpå man borde gå. Nu har motionären föreslagit, att en utredning borde verkställas, på det att pensioner kunde utgå genom bidrag från både lärare och landsting, hvarjämte staten äfven borde bidraga med något. Jag anser, att den af motionären anvisade vägen är mycket lämplig, och det förvånar mig, att ett förslag om aflåtande af en skrifvelse till Kungl. Maj:t med anhållan om verkställande af en utredning, huruvida dessa lärare icke kunde på fyita sätt erhålla någon pension, icke kunnat vinna utskottets</w:t>
        <w:br/>
        <w:br/>
        <w:t xml:space="preserve">Då vi för några dagar sedan hade före en pensionsfråga, väcktes utaf två af statsutskottets ledamöter förslag därom, att pension skulle beredas en tjänsteman, som icke vore berättigad till någon pension. Jag trodde, att dessa personer nu skulle hafva reserverat sig och äfven erkänt, att folkhögskolelärare och föreståndare borde berättigas ”till pension. Men så har dock icke skett. Under sådana förhållanden vill jag vädja till kammaren, — ty för hvilka äro folkhögskolorna särskildt afsedda, om icke för allmogens söner och </w:t>
      </w:r>
      <w:r>
        <w:rPr>
          <w:b/>
        </w:rPr>
        <w:t>döttrar²</w:t>
      </w:r>
      <w:r>
        <w:rPr>
          <w:b w:val="0"/>
        </w:rPr>
        <w:t xml:space="preserve"> — om den icke skulle vilja bifalla motionen, så att frågan om beredande af något understöd åt dessa lärare kunde underkastas Kungl. Maj:ts pröfning, och förslag därom sedermera framkomma till Riksdagen.</w:t>
        <w:br/>
        <w:br/>
        <w:t>Jag hoppas, att kammaren icke måtte afslå denna billiga begäran, och därför yrkar jag bifall till motionen och afslag å utskottets förslag.</w:t>
      </w:r>
    </w:p>
    <w:p>
      <w:pPr>
        <w:pStyle w:val="Heading2"/>
      </w:pPr>
      <w:r>
        <w:t>4. Hans Andersson (Lantmanna- och borgarepartiet inom andrakammaren, man)</w:t>
      </w:r>
    </w:p>
    <w:p>
      <w:r>
        <w:rPr>
          <w:b w:val="0"/>
        </w:rPr>
        <w:t>Herr talman, mine herrar! För min personliga del skulle jag ej haft något emot att tillstyrka bifall till motionen, om jag hade trott, att man kunnat vinna något därmed. Men jag tror, att de, som vilja göra något för folkhögskolelärarnes pensionering, göra dem en mycket stor otjänst genom att bifalla motionen, sådan den nu föreligger.</w:t>
        <w:br/>
        <w:br/>
        <w:t>På afdelningen gjordes åtskilliga försök att åstadkomma något, men det lyckades icke, och för att ändå komma målet så nära som möjligt ansågo vi, att detta skulle bäst vinnas med den motivering, som uti betänkandet förekommer och äfven nu af motionären godkänts.</w:t>
        <w:br/>
        <w:br/>
        <w:t>Jag hoppas, att kammaren skall inse, att beslutets verkan skall blifva mycket starkare, om en sådan motivering blefve godkänd af båda kamrarne, än om olika beslut fattas i de särskilda kamrarne. För öfrigt är jag öfvertygad om att det är alldeles nödvändigt, att vi slå in på den af motionären föreslagna vägen, därest vi skola kunna skaffa lämpligt och dugande folk för att sköta</w:t>
        <w:br/>
        <w:br/>
        <w:t>dessa ansvarsfulla poster. Jag skulle icke ett ögonblick tveka att rösta för en pensionering af dessa lärare, så fort det blifvit utredt, hvilket som är det lämpligaste sättet för pensionernas utgående. Nu är emellertid förhållandet sådant, att dessa lärare utgöra en så liten kår, att de icke kunna bilda en egen pensionsinrättning, och då därtill kommer, att deras aflöningsförhållanden äro så väsentligt olika, blir det äfven svårt för dem att få ingå i någon annan pensionsinrättning. Således erfordras en betydlig utredning i detta afseende, och en sådan kan mycket väl verkställas af föreståndarne jämte styrelserna. Sedan en dylik utredning blifvit gjord och framställningar i anledning af densamma inkommit till Kungl. Maj:t, hoppas jag, att Kungl. Maj:t måtte taga frågan under öfvervägande, då den ju är för vårt folkhögskoleväsen af största vikt.</w:t>
        <w:br/>
        <w:br/>
        <w:t>Jag anhåller därför, herr talman, att just för frågans framgång få yrka bifall till utskottets förslag.</w:t>
      </w:r>
    </w:p>
    <w:p>
      <w:pPr>
        <w:pStyle w:val="Heading2"/>
      </w:pPr>
      <w:r>
        <w:t>5. Folke Andersson (–, man)</w:t>
      </w:r>
    </w:p>
    <w:p>
      <w:r>
        <w:rPr>
          <w:b w:val="0"/>
        </w:rPr>
        <w:t>Den siste ärade talaren påstod, att icke något sätt blifvit angifvet, huru dessa pensidner skulle utgå. Skulle så varit förhållandet, skulle äfven han hafva varit med om att bifalla motionen.</w:t>
        <w:br/>
        <w:br/>
        <w:t xml:space="preserve">Med anledning häraf skall jag be att få uppläsa några rader ur utskottets betänkande: »Pensioneringens anordnande kan ju ske på flera sätt, men torde ett sådant system som det i svenska </w:t>
      </w:r>
      <w:r>
        <w:rPr>
          <w:b/>
        </w:rPr>
        <w:t>lärarinnornas³</w:t>
      </w:r>
      <w:r>
        <w:rPr>
          <w:b w:val="0"/>
        </w:rPr>
        <w:t xml:space="preserve"> pensionsförening tillämpade böra i förevarande fall vinna särskild uppmärksamhet, enär därigenom pensionens eller lifräntans belopp blifver direkt beroende af insatsernas storlek och den tidrymd, hvarunder de guldits, hvilket i fråga om en kår, inom hvilken lönerna växla så mycket som inom den ifrågavarande, bör vara fördelaktigt.»</w:t>
        <w:br/>
        <w:br/>
        <w:t>Enligt mitt förmenande har utskottet här just angifvit det sätt, hvarpå pensioneringen skulle kunna ske, och vid sådant förhållande hemställer jag till herrarne, om icke kammaren skulle vilja aflåta en skrifvelse till Kungl. Maj:t med anhållan, att Kungl. Maj:t måtte antaga just den väg, som utskottet anvisat. Jag tycker, att detta är så tydligt, att det skulle förvåna mig, om icke kammaren skulle bifalla motionen.</w:t>
        <w:br/>
        <w:br/>
        <w:t>Jag yrkar fortfarande bifall till densamma.</w:t>
      </w:r>
    </w:p>
    <w:p>
      <w:pPr>
        <w:pStyle w:val="Heading2"/>
      </w:pPr>
      <w:r>
        <w:t>6. Ernst Carlson (–, man)</w:t>
      </w:r>
    </w:p>
    <w:p>
      <w:r>
        <w:rPr>
          <w:b w:val="0"/>
        </w:rPr>
        <w:t>Herr talman! Oaktadt jag är en lika varm vän af folkhögskolan och folkbildningssträfvanden i allmänhet som den siste ärade talaren, tror jag dock, i likhet med den ledamot af statsutskottet, som nyss hade ordet, att det denna gång vore klokast, att kammaren bifölle utskottets hemställan.</w:t>
        <w:br/>
        <w:br/>
        <w:t>Man' må tacksamt erkänna, att statsutskottet, som i fjol helt enkelt afstyrkte en liknande motion, i år gått motionärens önskningar så långt till mötes, som här skett. Utskottet har nämligen erkänt, att goda skäl kunna anföras för att statsbidrag må medgifvas till folkhögskoleföreståndarnes pensionering, och vidare har</w:t>
        <w:br/>
        <w:br/>
        <w:t>utskottet lämnat två värdefulla anvisningar angående den väg man</w:t>
        <w:br/>
        <w:br/>
        <w:t>bör gå för att nå detta mål. Statsutskottet har i sådant afseende ning i fråga</w:t>
        <w:br/>
        <w:br/>
        <w:t xml:space="preserve">dels hänvisat till den metod, som tillämpats vid Svenska </w:t>
      </w:r>
      <w:r>
        <w:rPr>
          <w:b/>
        </w:rPr>
        <w:t>lärarinnornas³</w:t>
      </w:r>
      <w:r>
        <w:rPr>
          <w:b w:val="0"/>
        </w:rPr>
        <w:t xml:space="preserve"> pensionsförening, dels äfven framhållit, att det är de i saken närmast intresserade, nämligen föreståndarne och styrelserna för ifrågavarande skolor, som här böra taga initiativet. Sedan dessa utredt frågan, bör den öfverlämnas till landstingen och därifrån gå vidare till Kungl. Maj:t för att slutligen den vägen återkomma till Riksdagen. Efter en dylik utredning är det väl med föreliggande motivering af statsutskottet, antagen af Riksdagens båda kamrar, näppeligen att betvifla, att Riksdagen skall bifalla ett väl afvägdt förslag, omfattande pensionsbidrag icke endast till föreståndarné, utan — såsom utskottet antydt — möjligen äfven till öfriga lärare med mera fast anställning vid folkhögskolan.</w:t>
        <w:br/>
        <w:br/>
        <w:t>Medan jag har ordet, skall jag tillåta mig att framhålla ett önskemål i detta afseende, nämligen att pensionsåldern för ifrågavarande lärare skulle sättas något lägre än till 65 år, såsom i motionen föreslagits. De hafva en i hög grad slitande tjänstgöring, och för de synnerligen ansvarsfulla poster, som innehafvas af folkhögskoleföreståndare, håller jag före, att man vida lättare skulle få friska och dugande krafter in i arbetet, därest man något tidigare, t. ex. vid 60 års ålder, kunde bereda pension. Äfven vore önskvärdt, att ifrågavarande lärare för pensions erhållande kunde få tillgodoräkna sig tjänsteår, som de möjligen i andra lärarebeställ- Dängar vid statens eller af staten understödda skolor tidigare förvärfvat.</w:t>
        <w:br/>
        <w:br/>
        <w:t>Med uttalande af dessa önskemål och under åberopande i öftigt af de skäl, som nyss anförts af den ärade utskottsledamoten å skånebänken, yrkar jag, herr talman, för närvarande bifall till statsutskottets hemställan i den föredragna punkten.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941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