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952</w:t>
      </w:r>
    </w:p>
    <w:p>
      <w:r>
        <w:rPr>
          <w:b/>
        </w:rPr>
        <w:t xml:space="preserve">Datum: </w:t>
      </w:r>
      <w:r>
        <w:t>1904-03-16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Carlson Bonde (Gamla lantmannapartiet, man)</w:t>
      </w:r>
    </w:p>
    <w:p>
      <w:r>
        <w:rPr>
          <w:b w:val="0"/>
        </w:rPr>
        <w:t>Herr talman, mina herrar! Jag ber till en början att till fullo få instämma med herr Waldenström däri, att det här icke gäller någon obetydlig sak. Han sade, att denna sak är verkligen af den vikt, att den måste noga af denna kammare beaktas. Häri har han fullkomligt rätt. Det är ingen oviktig sak, huruvida Andra kammaren i dag bifaller eller afslår den kungl. propositionen. Här gäller frågan, huruvida Sverige fortfarande skall räknas såsom en barbarisk stat eller om vi skola träda i jämnbredd med öfriga civiliserade stater i Europa. Det yttrades under en diskussion för några veckor sedan, att Europa icke hade sina ögon riktade på oss, men jag tror verkligen, att vi i detta fall måste erkänna, att nog har Europa nu sina ögon riktade på oss och undrar, när dessa barbarer däruppe i Norden skola inträda i de civiliserade ländernas krets. Här gäller ju ingenting annat, än att rätt skall vara rätt. Den ärade reservanten i lagutskottet, som nyss uppträdt mot lagutskottets förslag, har äfven en annan reservation, som förekommer litet längre fram i dag, nämligen vid den utskottets hemställan, däri utskottet förordar vissa åtgärder mot illojal konkurrens. Det är ett märkvärdigt samband mellan dessa båda reservationer, ty den man, som ej vill vidtaga åtgärder mot illojal konkurrens i affärslifvet, han vill naturligtvis ingalunda hindra illojal konkurrens, när det gäller det andliga, kulturella området. I denna senare reservation yttrar herr Waldenström, att lagen gör ingen moral. Det kan ju vara sant, att icke lagens bokstaf skapar moral, men det är nu en gång så, att om man vill ha moral, så nog får man lof att hafva lag och icke blott lag inom landet, utan äfven internationell lag. Därför har denna Bernkonvention kommit till stånd, nämligen för att skydda intressena i olika länder. Det är icke här, såsom af en talare framhållits — hans yttrande kanske var afsedt att skrämma en del af kammarens ledamöter — fråga om ett protektionistiskt angrepp. Det yttrades, att detta var att lägga en protektionistisk kapson eller hur nu uttrycket föll sig på införseln af internationell litteratur. Nej, detta förslag skiljer sig verkligen från de protektionistiska teorierna. Här är ej så mycket fråga om att skydda det inhemska arbetet mot införseln af utländskt, utan här är det fråga om att skydda såväl det utländska arbetet i vårt land, som det inhemska i utlandet mot hvad man med ett lindrigt ord skulle kunna kalla för — stöld. Det var visserligen en talare, som sade, att det gör ej något, om man tager från dessa utländska författare, ty de</w:t>
        <w:br/>
        <w:br/>
        <w:t>äro i allmänhet i den oberoende ekonomiska ställning, att för dem den ekonomiska sidan är af föga betydelse och att det för dem ej spelar någon roll, om de få betaldt för sitt arbete eller icke, då detta reproduceras här i Sverige. Ja, det är en gammal historia, att det gör ej något att stjäla, blott man stjäl från den rike. Men detta är väl precis ej en moral som man, enligt min uppfattning åtminstone, bör här i kammaren alltför mycket betona.</w:t>
        <w:br/>
        <w:br/>
        <w:t>Herr statsrådet och chefen för justitiedepartementet har ju noga redogjort för den kungl. propositionens historia och framhållit, att detta är uteslutande en rättsfråga, och att man icke då bör tänka på huruvida det kan hända — så är det alltid, när fråga är, att rätt skall vara rätt — att en eller annan, som har njutit fördel af det orättfärdighetens tillstånd, hvilket hittills varit rådande, kan komma att förlora på en ändring härvidlag. Det är möjligt, att en och annan »förläggare», som haft till lefvebröd att hugga utländske författares arbeten och låta tjuföfversätta dem och utgifva dem här, kan komma att lida någon inskränkning i den industrien, men det tror jag ej skulle vara till någon skada för landets moral i dess helhet.</w:t>
        <w:br/>
        <w:br/>
        <w:t xml:space="preserve">Herr Waldenström sade på tal om att Selma Lagerlöf genom illojal konkurrens, när </w:t>
      </w:r>
      <w:r>
        <w:rPr>
          <w:b/>
        </w:rPr>
        <w:t>hon²</w:t>
      </w:r>
      <w:r>
        <w:rPr>
          <w:b w:val="0"/>
        </w:rPr>
        <w:t xml:space="preserve"> skulle utgifva ett af sina arbeten i England, gått förlustig sitt författararfvode, att det ej var mer än rätt åt </w:t>
      </w:r>
      <w:r>
        <w:rPr>
          <w:b/>
        </w:rPr>
        <w:t>henne²</w:t>
      </w:r>
      <w:r>
        <w:rPr>
          <w:b w:val="0"/>
        </w:rPr>
        <w:t xml:space="preserve">. Det var </w:t>
      </w:r>
      <w:r>
        <w:rPr>
          <w:b/>
        </w:rPr>
        <w:t>hennes²</w:t>
      </w:r>
      <w:r>
        <w:rPr>
          <w:b w:val="0"/>
        </w:rPr>
        <w:t xml:space="preserve"> eget fel. </w:t>
      </w:r>
      <w:r>
        <w:rPr>
          <w:b/>
        </w:rPr>
        <w:t>Hon²</w:t>
      </w:r>
      <w:r>
        <w:rPr>
          <w:b w:val="0"/>
        </w:rPr>
        <w:t xml:space="preserve"> skulle ha lärt af herr Waldenström, hur </w:t>
      </w:r>
      <w:r>
        <w:rPr>
          <w:b/>
        </w:rPr>
        <w:t>hon²</w:t>
      </w:r>
      <w:r>
        <w:rPr>
          <w:b w:val="0"/>
        </w:rPr>
        <w:t xml:space="preserve"> skulle gå till väga. Samtidigt med att man utgifver en upplaga här, bör man nämligen utgifva upplagor i främmande länder. Det var rådet han gaf. Ja, detta är godt och väl och det kan nog herr Waldenström göra, men det är ej sagdt, att alla författare äro i den ekonomiska situation, att de kunna på det sättet bestrida kostnaderna att på eget förlag utgifva dylika upplagor; de kunna ju nämligen ej påräkna att där få författararfvode, emedan de ännu ej äro tillräckligt kända. Jag tror därför, att det ej är så lätt för alla författare att följa den sunda vishetsregel, som herr Waldenström anvisade.</w:t>
        <w:br/>
        <w:br/>
        <w:t>Här har framhållits af en talare, att det blefve den stora allmänheten, som skulle lida på reformen och att böckerna skulle höjas med ända till 50 procent i pris, ifall Sverige anslöte sig till Bernkonventionen. Jag tror icke, att det är så farligt, som han har velat framställa. Det är nog möjligt, att en hel del sämre litteratur, som nu utgår i öfversättning och säljes för billigt pris, kommer att försvinna — det vöre kanske i många fall ej någon skada — och att, när författarne få sitt arbete betaldt, priset i någon mån kommer att höjas. Men jag tror ej, att någon kommer att klaga på att man får betala några öre eller en krona mera, om man får veta, att författarne verkligen fått någon ersättning för sitt arbete.</w:t>
        <w:br/>
        <w:br/>
        <w:t>Då jag verkligen anser, att den föreliggande frågan är af synnerligen stor vikt, och då det här gäller — om vi skola använda detta uttryck — stora kulturella intressen, kulturella intressen, som stå på spel, icke om vi ansluta oss till konventionen, utan tvärtom, om vi icke ansluta oss till densamma, och då jag vidare anser, att</w:t>
        <w:br/>
        <w:br/>
        <w:t>det, för att Sverige må intaga den plats, som anstår det bland öfriga civiliserade länder, är af vikt, att vi nu ansluta oss till denna civilisationens konvention, så yrkar jag bifall till den kungl. propositionen.</w:t>
      </w:r>
    </w:p>
    <w:p>
      <w:pPr>
        <w:pStyle w:val="Heading2"/>
      </w:pPr>
      <w:r>
        <w:t>2. Paul Petter Waldenström (Utan partibeteckning, man)</w:t>
      </w:r>
    </w:p>
    <w:p>
      <w:r>
        <w:rPr>
          <w:b w:val="0"/>
        </w:rPr>
        <w:t>Herr talman, mina herrar! Herr Lindhagen yttrade, att förläggareföreningarne, trots att det var mot deras intresse, måst böja sig för det, som de funno vara nödvändigt. Detta är alldeles misstag. Förläggareföreningarne ha icke alls böjt sig. Den svenska bokförläggareföreningen har sagt, att om förslaget skall antagas, så böra de bestämmelser, som innehållas i den norska lagens 3 38 och i den danska lagens motsvarande $ 37, komma med i lagförslaget; och detta har den gjort till villkor för att den skulle gå in på författareföreningens förslag. Detta dess villkor har emellertid Kungl. Maj:t helt och hållet lämnat åsido. Kan då Kungl. Maj:t eller någon af herrarne säga, att svenska bokförläggareföreningen, som uppställt ett sådant villkor för bifall, har gifvit sitt bifall till förslaget, då villkoret ej är uppfylldt? Det måtte väl vara en ofantligt lätt sak att se, att svenska bokförläggareföreningen har gifvit sitt bifall till något helt annat än Kungl. Maj:ts förslag.</w:t>
        <w:br/>
        <w:br/>
        <w:t>Vidare sade herr Lindhagen, att bokförläggarne ställa sig afvogt mot det föreliggande förslaget, därför att de vilja hellre taga än betala. Nej, herr Lindhagen. Är det fråga om arbeten af värde, få de nog betala. Och huru det går till, det har jag anfört i utskottet och anförde nyss här. Det bokförlag, som jag närmare känner till, har såsom jag nämnde under loppet af många år i öfversättning utgifvit Funckes skrifter och därvid betalt hvart enda ark. Det är visst inte att bara »taga»&gt;.</w:t>
        <w:br/>
        <w:br/>
        <w:t>Så säger ock herr Lindhagen, att vi skulle riskera vårt lands anseende i utlandet, om vi nu icke biträdde Bernkonventionen. Hvar i all världen kommer den risken ifrån? Vi ha ju icke anslutit oss till denna konvention under de år, som hittills gått. Och jag förstår icke, att vårt anseende i utlandet lidit däraf, eller att vi, såsom till exempel friherre Bonde sade, skulle varit räknade såsom en barbarstat, så att man frågat: när skola de där barbarerna komma med i den civiliserade världen? Nej, friherre Bonde, så pass mycket känner jag Sveriges anseende i utlandet, att jag vet att sådana där retoriska blomsters doft icke är mycket värd. Låt oss taga saken, sådan den verkligen är. Om vi nu biträda Bernkonventionen, blir följden helt enkelt den, att svenska författares arbeten icke få utan vidare öfversättas till tyska och tyska författares arbeten icke till svenska, och därmed kvitt, blott med den lilla skillnaden, att Sverige skulle vinna ofantligt mycket mindre än Tyskland.</w:t>
        <w:br/>
        <w:br/>
        <w:t>För öfrigt skulle, enligt friherre Bondes uttryck, Amerikas Förenta stater vara att anse såsom en barbarstat. Där finnes nämligen icke något skydd för någon, vare sig inländsk eller utländsk bok, om man icke söker och får så kallad copyright. Hvad den omtalade risken beträffar, är den sålunda icke alls farlig.</w:t>
        <w:br/>
        <w:br/>
        <w:t>Europas ögon skulle — sade friherre Bonde — vara riktade på</w:t>
        <w:br/>
        <w:br/>
        <w:t>oss. Ja, några få bokförläggare och några ännu färre författare i</w:t>
        <w:br/>
        <w:br/>
        <w:t>Tyskland ha sina ögon riktade på oss. Det är allt. Och det är alls icke detsamma som Europas ögon, ehuru det har varit och är en ganska vanlig jargon att betrakta hvad en grupp, en handfull litteratörer tänker och säger såsom uttryck för hvad folket i sin helhet tänker och säger, och att dit dessa litteratörer rikta sina ögon, dit riktar naturligtvis hela landet sina ögon?! Nej, friherre Bonde, det där går inte.</w:t>
        <w:br/>
        <w:br/>
        <w:t>Friherre Bonde fann ett märkligt sammanhang mellan min reservation nu och min reservation i fråga om den illojala konkurrensen. Ja, det är ett mycket nära sammanhang mellan båda två. Men då han sade, att jag icke velat vara med om att göra något mot den illojala konkurrensen, då är detta icke riktigt sant. Ty jag har blott framhållit, att man icke med lagstiftningsåtgärder kan komma åt den illojala konkurrensen, så att man stäfjar den på något nämnvärdt sätt. Och jag är mycket rädd att fylla vårt lif med lagar, som ingenting annat kunna uträtta, än att väcka lagförakt - de personer, som finna, att de kunna öfverträda dem när som</w:t>
        <w:br/>
        <w:br/>
        <w:t>Friherre Bonde sade också, att här icke skulle vara fråga om någon protektionism. Men detta är just hvad författareföreningen själf säger. Den säger nämligen — jag läste nyss upp det —, att »ett »skydd» för den svenska författaren är detta i samma mening som tullskyddet för industri och jordbruk». Och ha författarne själfva sagt, att de önska »tullskydd», så må det väl få gälla såsom deras mening.</w:t>
        <w:br/>
        <w:br/>
        <w:t>Friherre Bonde sade vidare, att en sådan där öfversättningsrätt, som förläggarne nu begagnade sig af, i själfva verket skulle innebära en stöld. Detta är något alldeles nytt. Hittills har det icke betraktats såsom stöld, utan har såsom något rätt och tillbörligt pågått öfverallt, ända tills Bernkonventionen ingicks. Då bereddes skydd för författare i de länder, som tillhörde den, men icke för andra.</w:t>
        <w:br/>
        <w:br/>
        <w:t>På samma sätt kunde det sägas vara stöld, till exempel, om jag får se ett vackert hus i utlandet och när jag kommer hem till Sverige, bygger mig ett likadant. Om jag det gör, har jag väl då stulit huset eller bestulit arkitekten? Jag kan icke förstå det.</w:t>
        <w:br/>
        <w:br/>
        <w:t xml:space="preserve">Friherre Bonde påstod, att jag sagt, att det icke var mer än rätt, att Selma Lagerlöf gick miste om sitt arfvode, då </w:t>
      </w:r>
      <w:r>
        <w:rPr>
          <w:b/>
        </w:rPr>
        <w:t>hon²</w:t>
      </w:r>
      <w:r>
        <w:rPr>
          <w:b w:val="0"/>
        </w:rPr>
        <w:t xml:space="preserve"> icke förstod att begagna sig af det tillfälle, </w:t>
      </w:r>
      <w:r>
        <w:rPr>
          <w:b/>
        </w:rPr>
        <w:t>hon²</w:t>
      </w:r>
      <w:r>
        <w:rPr>
          <w:b w:val="0"/>
        </w:rPr>
        <w:t xml:space="preserve"> hade, att försäkra sig om arfvodet. Jag yttrade mig visst icke så. Men jag sade, att det gick på det viset, därför att han icke begagnade det sätt, som fanns, för att tillförsäkra sig om sitt arfvode. Och så går det med alla, som icke känna eller begagna de vägar, som stå dem öppna för att bereda sig det skydd, de anse sig behöfva.</w:t>
        <w:br/>
        <w:br/>
        <w:t>Jag skall efter detta be att få yttra något med anledning af det, som herr justitieministern sade.</w:t>
        <w:br/>
        <w:br/>
        <w:t>Det öfverraskade mig i högsta grad, när han mot mig anmärkte, att han i sitt anförande till statsrådsprotokollet icke alls talat om den nya bokförläggareföreningen, utan blott om den svenska bok-</w:t>
        <w:br/>
        <w:br/>
        <w:t>förläggareföreningen, ifall jag fattade hans ord rätt. Och det må jag säga, att då kan man icke tala mera beslöjadt, än hvad herr statsrådet verkligen i sitt yttrande till statsrådsprotokollet har gjort. Det heter nämligen där, att det måhända är under inflytande af den allmänna meningen inom riket, som »jämväl de intressen, hvilka hittills hållit tillbaka och afstyrkt anslutning till konventionen, numera synas uppgifva sitt motstånd». Och dessa intressen, de äro »målsmännen för förlagsverksamhet och journalistik», som hörts öfver författareföreningens framställning. Kan någon människa tänka sig, att uttrycket »målsmännen för förlagsverksamheten»&gt; skulle inbegripa endast svenska bokförläggareföreningen och icke nya bokförläggareföreningen, som dock — äfven den — afgifvit till Kungl. Maj:t ett underdånigt yttrande med anledning af författareföreningens förslag? Herr statsrådet får verkligen ursäkta, om jag, när jag läste om »målsmännen för förlagsverksamheten», måste fatta detta såsom åsyftande bägge förläggareföreningarna och icke bara den ena. Säkert är ock, att nya bokförläggareföreningen afgifvit till Kungl. Maj:t det yttrande, som jag här nyss läst upp, och som verkligen är till den grad positivt emot och så långt ifrån att vara tillstyrkande, att det däri heter, att om, trots alla betänkligheter, vi likväl skola biträda Bernkonventionen, så måste det ske under de och de villkoren. "Detta har emellertid herr statsrådet i sitt yttrande till statsrådsprotokollet icke nämnt ett ord om.</w:t>
        <w:br/>
        <w:br/>
        <w:t>Vidare ber jag att få påpeka en annan sak.</w:t>
        <w:br/>
        <w:br/>
        <w:t>Lagutskottet vill ersätta åtskilligt, som i den danska och den norska lagen är intaget såsom bestämda lagparagrafer, genom en hemställan till Kungl. Maj:t, att Kungl. Maj:t, när han biträder Bernkonventionen, må förklara det och det. Tro herrarne, att det är detsamma, om detta står i själfva lagen eller om man gör en sådan hemställan till Kungl. Maj:t?</w:t>
        <w:br/>
        <w:br/>
        <w:t>Slutligen tillåter jag mig att säga några ord beträffande lagutskottets tal om fortfarande rättighet för förläggare att begagna redan förefintliga stereotyper. Med stereotyper menas gjutna typplåtar, som användas i stället för lösa typer till arbeten, af hvilka man hoppas få trycka flere upplagor. Och hvad är det då för skillnad, från författarens synpunkt sedt, om en bokförläggare får rätt att sätta upp en bok en gång till, eller om han får trycka om den med stereotyper? Det blir i själfva verket ingen skillnad alls. Är det ena en kränkning af den utländske författarens rätt, så är det andra en lika stor kränkning af densamma.</w:t>
        <w:br/>
        <w:br/>
        <w:t>Jag är glad, att friherre Bonde medgaf, att frågan är en mycket viktig fråga. Det är just på denna grund, som jag yrkat afslag på Kungl. Maj:ts förslag i denna punkt och bifall till reservationen. Och jag uttalar återigen det hoppet, att Andra Kammaren skall biträda detta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952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