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39</w:t>
      </w:r>
    </w:p>
    <w:p>
      <w:r>
        <w:rPr>
          <w:b/>
        </w:rPr>
        <w:t xml:space="preserve">Datum: </w:t>
      </w:r>
      <w:r>
        <w:t>1904-04-15</w:t>
      </w:r>
    </w:p>
    <w:p>
      <w:r>
        <w:rPr>
          <w:b/>
        </w:rPr>
        <w:t xml:space="preserve">Kammare: </w:t>
      </w:r>
      <w:r>
        <w:t>Första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Fredrik Wester (–, man)</w:t>
      </w:r>
    </w:p>
    <w:p>
      <w:r>
        <w:rPr>
          <w:b w:val="0"/>
        </w:rPr>
        <w:t xml:space="preserve">Afven i denna punkt anhåller jag att få yrka afslag på utskottets förslag. Motionären föreslår här afhjälpandet af en visserligen mindre oegentlighet, som förefinnes 1 beskattningsväg, så att gift </w:t>
      </w:r>
      <w:r>
        <w:rPr>
          <w:b/>
        </w:rPr>
        <w:t>kvinna¹</w:t>
      </w:r>
      <w:r>
        <w:rPr>
          <w:b w:val="0"/>
        </w:rPr>
        <w:t xml:space="preserve">, som har egendom under egen förvaltning, skulle äga att själf deklarera och skatta för densamma. Detta är ju i och för sig en rättvis åtgärd, men i de allra flesta fall, då gift </w:t>
      </w:r>
      <w:r>
        <w:rPr>
          <w:b/>
        </w:rPr>
        <w:t>kvinna¹</w:t>
      </w:r>
      <w:r>
        <w:rPr>
          <w:b w:val="0"/>
        </w:rPr>
        <w:t xml:space="preserve"> har egendom under egen förvaltning, nekas </w:t>
      </w:r>
      <w:r>
        <w:rPr>
          <w:b/>
        </w:rPr>
        <w:t>henne²</w:t>
      </w:r>
      <w:r>
        <w:rPr>
          <w:b w:val="0"/>
        </w:rPr>
        <w:t xml:space="preserve"> icke att för densamma blifva beskattad, om </w:t>
      </w:r>
      <w:r>
        <w:rPr>
          <w:b/>
        </w:rPr>
        <w:t>hon²</w:t>
      </w:r>
      <w:r>
        <w:rPr>
          <w:b w:val="0"/>
        </w:rPr>
        <w:t xml:space="preserve"> så önskar. Att således i detta fall skrifva till Kungl. Maj:t för att få åtgärder vidtagna, som redan nu mycket väl låta sig göra, har jag för min del icke ansett vara lämpligt. Jag vill också framhålla, att därest första punkten af detta betänkande antages, är det nästan nödvändigt att äfven antaga reservationen till den andra, ty annars kommer frågan in till Kungl. Maj:t i bra egendomligt läge. Nu är detta en fråga, som kanske förefaller liten, enkel och lättlöst</w:t>
        <w:br/>
        <w:br/>
        <w:t xml:space="preserve">på ett vis, men jag undrar, om icke dess innebörd i många hänseenden kan verka upplösande. Jag tror att många, som önska bekomma kommunal rösträtt, skulle mycket väl kunna förskaffa sig sådan rätt. Men hvarför kan då icke en annan gift </w:t>
      </w:r>
      <w:r>
        <w:rPr>
          <w:b/>
        </w:rPr>
        <w:t>kvinna¹</w:t>
      </w:r>
      <w:r>
        <w:rPr>
          <w:b w:val="0"/>
        </w:rPr>
        <w:t>, för hvilken mannen betalar skatt, likaväl vara röstberättigad som den, hvilken händelsevis har medel under egen förvaltning? Frågan är såsom sagdt öppen, och jag har velat bringa den på tal i kammaren.</w:t>
        <w:br/>
        <w:br/>
        <w:t>Jag anser såsom sagdt icke anledning vara för handen att föreslå en så stor åtgärd som en skrifvelse till Kungl. Maj:t, och jag får därför yrka afslag på utskottets hemställan.</w:t>
      </w:r>
    </w:p>
    <w:p>
      <w:pPr>
        <w:pStyle w:val="Heading2"/>
      </w:pPr>
      <w:r>
        <w:t>2. Gustaf Fredrik Östberg (Det förenade högerpartiet, man)</w:t>
      </w:r>
    </w:p>
    <w:p>
      <w:r>
        <w:rPr>
          <w:b w:val="0"/>
        </w:rPr>
        <w:t xml:space="preserve">Det yttrades af föregående talare, att redan nu gift </w:t>
      </w:r>
      <w:r>
        <w:rPr>
          <w:b/>
        </w:rPr>
        <w:t>kvinna¹</w:t>
      </w:r>
      <w:r>
        <w:rPr>
          <w:b w:val="0"/>
        </w:rPr>
        <w:t xml:space="preserve">, som hade egendom under egen förvaltning och begärde att blifva särskildt taxerad för densamma, icke nekades att få sin önskan uppfylld. Men förhållandet är emellertid det, att författningen icke gifver bestämdt svar på frågan, huruvida en sådan taxering är berättigad eller icke. I många fall har den medgifvits, i andra fall nekats. Under sådana förhållanden är det ju en rimlig begäran, att saken måtte blifva ställd på det klara. Jag har ansett, att man icke borde hysa tvekan därom, att när gift </w:t>
      </w:r>
      <w:r>
        <w:rPr>
          <w:b/>
        </w:rPr>
        <w:t>kvinna¹</w:t>
      </w:r>
      <w:r>
        <w:rPr>
          <w:b w:val="0"/>
        </w:rPr>
        <w:t xml:space="preserve"> har medel under egen förvaltning, </w:t>
      </w:r>
      <w:r>
        <w:rPr>
          <w:b/>
        </w:rPr>
        <w:t>hon²</w:t>
      </w:r>
      <w:r>
        <w:rPr>
          <w:b w:val="0"/>
        </w:rPr>
        <w:t xml:space="preserve"> också skall blifva särskildt taxerad och får erlägga skatt därför. Man kan ju säga, att ur bägge makarnes synpunkt det är riktigt att hvardera skattar för den inkomst han eller </w:t>
      </w:r>
      <w:r>
        <w:rPr>
          <w:b/>
        </w:rPr>
        <w:t>hon²</w:t>
      </w:r>
      <w:r>
        <w:rPr>
          <w:b w:val="0"/>
        </w:rPr>
        <w:t xml:space="preserve"> uppbär. Då således en begäran, sådan motionären har framställt, måste anses alldeles befogad, synes mig, att man bör gå till mötes en dylik önskan. Man hade i bevillningsutskottet tänkt att framlägga förslag till ändring i själfva bevillningsförordningen och tillägg till instruktionen, hvarigenom de villkor skulle bestämmas, under hvilka ifrågavarande beskattning skulle komma till stånd, och man hade tänkt, att begäran om särskild taxering skulle framställas af </w:t>
      </w:r>
      <w:r>
        <w:rPr>
          <w:b/>
        </w:rPr>
        <w:t>hustrun²</w:t>
      </w:r>
      <w:r>
        <w:rPr>
          <w:b w:val="0"/>
        </w:rPr>
        <w:t xml:space="preserve"> eller </w:t>
      </w:r>
      <w:r>
        <w:rPr>
          <w:b/>
        </w:rPr>
        <w:t>hennes²</w:t>
      </w:r>
      <w:r>
        <w:rPr>
          <w:b w:val="0"/>
        </w:rPr>
        <w:t xml:space="preserve"> man, men sedan befanns det, att man behöfde noga tillse, i hvilket förhållande dessa ändringar stodo till uppbördsreglementet, och utskottet kom sålunda till den uppfattningen, att det vore riktigast att hos Kungl. Maj:t anhålla om utarbetande af förslag, hvarigenom alla synpunkter, som härvid vore att taga i betraktande, skulle kunna iakttagas.</w:t>
        <w:br/>
        <w:br/>
        <w:t>Detta gäller första punkten af motionärens yrkande; där har utskottet tillstyrkt bifall, hvaremot hans öfriga yrkanden ansågos för närvarande icke behöfva föranleda särskild åtgärd. Jag tilllåter mig därför, herr grefve och talman, att yrka bifall till utskottets hemstillan i denna punkt.</w:t>
      </w:r>
    </w:p>
    <w:p>
      <w:pPr>
        <w:pStyle w:val="Heading2"/>
      </w:pPr>
      <w:r>
        <w:t>3. Ernst Trygger (Första kammarens nationella parti, man)</w:t>
      </w:r>
    </w:p>
    <w:p>
      <w:r>
        <w:rPr>
          <w:b w:val="0"/>
        </w:rPr>
        <w:t xml:space="preserve">För min del måste jag, i motsats till bevillningsutskottet, uttala den mening att den punkt af herr Staaffs motion, däri han yrkar på sådan ändring af inkomstskatteförordningen, att gift </w:t>
      </w:r>
      <w:r>
        <w:rPr>
          <w:b/>
        </w:rPr>
        <w:t>kvinna¹</w:t>
      </w:r>
      <w:r>
        <w:rPr>
          <w:b w:val="0"/>
        </w:rPr>
        <w:t xml:space="preserve">, som har egendom under egen förvaltning, skall vara skyldig att själf deklarera, måste antagas, då vi antagit det förra förslaget. När </w:t>
      </w:r>
      <w:r>
        <w:rPr>
          <w:b/>
        </w:rPr>
        <w:t>hustru²</w:t>
      </w:r>
      <w:r>
        <w:rPr>
          <w:b w:val="0"/>
        </w:rPr>
        <w:t xml:space="preserve"> enligt lag har egendom under egen förvaltning, bör det väl icke innebära, att mannen förvaltar egendomen, utan det är </w:t>
      </w:r>
      <w:r>
        <w:rPr>
          <w:b/>
        </w:rPr>
        <w:t>hustrun²</w:t>
      </w:r>
      <w:r>
        <w:rPr>
          <w:b w:val="0"/>
        </w:rPr>
        <w:t xml:space="preserve"> som gör det, och följaktligen är det icke en nödvändighet, att mannen känner till denna förvaltning och dess resultat. Att då ålägga mannen att deklarera för sådan egendom måste framstå såsom ett uttalande från lagstiftarens sida, att det icke är allvar med lagens bestämmelse, att gift </w:t>
      </w:r>
      <w:r>
        <w:rPr>
          <w:b/>
        </w:rPr>
        <w:t>kvinna¹</w:t>
      </w:r>
      <w:r>
        <w:rPr>
          <w:b w:val="0"/>
        </w:rPr>
        <w:t xml:space="preserve"> i vissa fall må förvalta sin egendom. Följaktligen synes det mig ligga synnerligt stor principiell vikt på att i denna fråga taga steget fullt ut. Jag kan dock icke instämma i reservanternas förslag, ty det är en liten brist i afseende å formuleringen. Där säges nämligen, att Riksdagen skulle i skrifvelse hos Kungl. Maj:t anhålla »det Kungl. Maj:t täcktes för Riksdagen framlägga förslag till sådana bestämmelser, att gift </w:t>
      </w:r>
      <w:r>
        <w:rPr>
          <w:b/>
        </w:rPr>
        <w:t>kvinna¹</w:t>
      </w:r>
      <w:r>
        <w:rPr>
          <w:b w:val="0"/>
        </w:rPr>
        <w:t xml:space="preserve"> med egendom, däröfver </w:t>
      </w:r>
      <w:r>
        <w:rPr>
          <w:b/>
        </w:rPr>
        <w:t>hon²</w:t>
      </w:r>
      <w:r>
        <w:rPr>
          <w:b w:val="0"/>
        </w:rPr>
        <w:t xml:space="preserve"> enligt lag äger att ensam råda, varder skyldig att rörande den af sagda egendom härflytande inkomst själf afgifva vederbörlig uppgift&gt;. Därigenom har man emellertid uteslutit </w:t>
      </w:r>
      <w:r>
        <w:rPr>
          <w:b/>
        </w:rPr>
        <w:t>hustrus²</w:t>
      </w:r>
      <w:r>
        <w:rPr>
          <w:b w:val="0"/>
        </w:rPr>
        <w:t xml:space="preserve"> deklarationsskyldighet i afseende å inkomst af </w:t>
      </w:r>
      <w:r>
        <w:rPr>
          <w:b/>
        </w:rPr>
        <w:t>hennes²</w:t>
      </w:r>
      <w:r>
        <w:rPr>
          <w:b w:val="0"/>
        </w:rPr>
        <w:t xml:space="preserve"> eget arbete, men otvifvelaktigt torde vara, att denna är den viktigaste af alla de slags inkomster, som gift </w:t>
      </w:r>
      <w:r>
        <w:rPr>
          <w:b/>
        </w:rPr>
        <w:t>kvinna¹</w:t>
      </w:r>
      <w:r>
        <w:rPr>
          <w:b w:val="0"/>
        </w:rPr>
        <w:t xml:space="preserve"> äger att själf förvalta, ty det är den enda inkomst </w:t>
      </w:r>
      <w:r>
        <w:rPr>
          <w:b/>
        </w:rPr>
        <w:t>hon²</w:t>
      </w:r>
      <w:r>
        <w:rPr>
          <w:b w:val="0"/>
        </w:rPr>
        <w:t xml:space="preserve"> enligt lag äger råda öfver utan att hafva förbehållit sig det genom äktenskapsförord eller utan att det uppställts såsom villkor vid gåfva eller testamente. Lagen säger: &gt;Kan </w:t>
      </w:r>
      <w:r>
        <w:rPr>
          <w:b/>
        </w:rPr>
        <w:t>hustru²</w:t>
      </w:r>
      <w:r>
        <w:rPr>
          <w:b w:val="0"/>
        </w:rPr>
        <w:t xml:space="preserve"> genom eget arbete något förvärfva, däröfver må </w:t>
      </w:r>
      <w:r>
        <w:rPr>
          <w:b/>
        </w:rPr>
        <w:t>hon²</w:t>
      </w:r>
      <w:r>
        <w:rPr>
          <w:b w:val="0"/>
        </w:rPr>
        <w:t xml:space="preserve"> ock råda.» För att skaffa bot för denna lilla oklarhet i reservationen, vill jag framställa ett förslag, som också kommer att framläggas i Andra Kammaren, och hvilket fullkomligt tydligt uttalar hvad reservationen, såvidt jag förstår, menar. Jag hemställer följaktligen om bifall till följande förslag: att Riksdagen i anledning af herr Staaffs förevarande motion i denna del ville besluta att i skrifvelse till Kungl. Maj:t anhålla, det Kungl. Maj:t täcktes för Riksdagen framlägga förslag till sådana bestämmelser, att gift </w:t>
      </w:r>
      <w:r>
        <w:rPr>
          <w:b/>
        </w:rPr>
        <w:t>kvinna¹</w:t>
      </w:r>
      <w:r>
        <w:rPr>
          <w:b w:val="0"/>
        </w:rPr>
        <w:t xml:space="preserve"> med inkomst, däröfver </w:t>
      </w:r>
      <w:r>
        <w:rPr>
          <w:b/>
        </w:rPr>
        <w:t>hon²</w:t>
      </w:r>
      <w:r>
        <w:rPr>
          <w:b w:val="0"/>
        </w:rPr>
        <w:t xml:space="preserve"> enligt lag äger ensam råda, varder skyldig att rörande densamma själf afgifva vederbörlig uppgift.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39</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