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962</w:t>
      </w:r>
    </w:p>
    <w:p>
      <w:r>
        <w:rPr>
          <w:b/>
        </w:rPr>
        <w:t xml:space="preserve">Datum: </w:t>
      </w:r>
      <w:r>
        <w:t>1904-05-04</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Persson (Lantmanna- och borgarepartiet inom andrakammaren, man)</w:t>
      </w:r>
    </w:p>
    <w:p>
      <w:r>
        <w:rPr>
          <w:b w:val="0"/>
        </w:rPr>
        <w:t>Herr talman! Kungl. Maj:t har efter vissa bestämda grunder föreslagit inrättandet af realskolor i vissa städer och samskolor i andra städer, och då dessa grunder äro tillämpliga på de städer, som finnas angifna i mom. b, så har Kungl. Maj:t äfven följt samma princip i fråga om dem.</w:t>
        <w:br/>
        <w:br/>
        <w:t xml:space="preserve">Det kan ju icke förnekas, att skolorna i dessa båda städer skulle genom den föreslagna förändringen blifva betydligt förbättrade. I Sala finnes för värvarande endast ett treklassigt läroverk, men kommunen bar därjämte på egen bekostnad inrättat två klasser, en fjärde och en femte, och i denna skola meddelas undervisning af en rektor, två kolleger och två extra lärare. 1 Södertälje finns det endast en tvåklassig pedagogi, och där består lärarepersonalen, underhållen af staten, utaf endast en rektor och en kolleza. Dessutom underhållas tre klasser af staden, nämligen tredje, fjärde och femte klasserna, i hvilka undervisningen meddelas af tre extra lärare. Om nu i enlighet med det at Riksdagen nu antagna förslaget samskolor skulle inrättas i de nämnda städerna, komme undervisningen att vid dessa skolor bestridas af sju lärare, nämligen en rektor, tre adjunkter, en första </w:t>
      </w:r>
      <w:r>
        <w:rPr>
          <w:b/>
        </w:rPr>
        <w:t>lärarinna³</w:t>
      </w:r>
      <w:r>
        <w:rPr>
          <w:b w:val="0"/>
        </w:rPr>
        <w:t xml:space="preserve"> och två </w:t>
      </w:r>
      <w:r>
        <w:rPr>
          <w:b/>
        </w:rPr>
        <w:t>lärarinnor³</w:t>
      </w:r>
      <w:r>
        <w:rPr>
          <w:b w:val="0"/>
        </w:rPr>
        <w:t>. Men i sådant fall kommer väl också undervisningen i dessa skolor att blitva betydligt bättre än den förutvarande undervisningen. Jag kan åtminstone för min del icke finna annat.</w:t>
        <w:br/>
        <w:br/>
        <w:t xml:space="preserve">Den ekonomiska frågan kan härvidlag ej spela så stor roll, sedan Riksdagen i öfverensstämmelse med utskottets hemställan beslutat sänka kommunernas bidrag till dessa skolor, förut en tredjedel af lärarepersonalens begynnelselöner, till en fjärdedel däraf. Därtill kommer, att kommunerna äga rätt att uppbära terminsafgifter samt att de särskilda </w:t>
      </w:r>
      <w:r>
        <w:rPr>
          <w:b/>
        </w:rPr>
        <w:t>flickskolorna²</w:t>
      </w:r>
      <w:r>
        <w:rPr>
          <w:b w:val="0"/>
        </w:rPr>
        <w:t xml:space="preserve"> blifva obehöfliga, då samskolan skall omfatta äfven undervisning af </w:t>
      </w:r>
      <w:r>
        <w:rPr>
          <w:b/>
        </w:rPr>
        <w:t>flickor²</w:t>
      </w:r>
      <w:r>
        <w:rPr>
          <w:b w:val="0"/>
        </w:rPr>
        <w:t>. Den ekonomiska frågan torde alltså vara af så godt som ingen betydelse för de ifrågavarande städerna, i all synnerhet om man tager hänsyn till den folkmängd och skatteförmåga, som de hafva. Jag har visserligen inom utskottet varit af den meningen, att Kungl. Maj:ts förslag i fråga om kommu-</w:t>
        <w:br/>
        <w:br/>
        <w:t>nernas bidrag till dessa skolor borde antagas, d. v.s. att dessa bidrag Om ändrad skulle utgöra en tredjedel af lärarepersonalens begynnelselöner, men ke då nu kammaren redan beslutat, att dessa bidrag skola utgöra blott Gilmänna en fjärdedel af lärarnes begynnelselöner, skall jag icke göra något läroverk särskildt yrkande, utan ber endast att få instämma i hvad utskottet = m. m. bär föreslagit. (Forts.)</w:t>
      </w:r>
    </w:p>
    <w:p>
      <w:pPr>
        <w:pStyle w:val="Heading2"/>
      </w:pPr>
      <w:r>
        <w:t>2. Knut von Geijer (Första kammarens moderata parti, man)</w:t>
      </w:r>
    </w:p>
    <w:p>
      <w:r>
        <w:rPr>
          <w:b w:val="0"/>
        </w:rPr>
        <w:t>Herr talman, mina herrar! Jag anser visserligen, i likhet med hvad herr Persson från Arboga beträffande den till förmån för Sala och Södertälje väckta, af honom förordade motion anfört eller att min motion efter den utgång, som voteringen i mom. a) af denna punkt för en stund sedan fick, ej skall vinna bifall; men jag har likväl begärt ordet dels för att uttrycka ett beklagande af denna omständighet, dels ock för att till den kraft och verkan det för framtiden kan bafva uttala några ord angående den i min motion berörda frågan. Det är nämligen min bestämda öfvertygelse, att från den plats, som jag har äran att intaga i denna kammare, kommer inom jämförelsevis kort tid att framställas yrkanden i samma riktning, som jag gjort i min motion.</w:t>
        <w:br/>
        <w:br/>
        <w:t xml:space="preserve">Det är gifvet, att när det gäller uppdelning af skolan i läroverk, realskola och samskola för gossar och </w:t>
      </w:r>
      <w:r>
        <w:rPr>
          <w:b/>
        </w:rPr>
        <w:t>flickor²</w:t>
      </w:r>
      <w:r>
        <w:rPr>
          <w:b w:val="0"/>
        </w:rPr>
        <w:t>, mäste vederbörande söka finna en generell regel, äfven om denna blir i mer eller mindre mån mekanisk. Man har nu här valt lärjungeantalet som grund för delningen, och däremot har jag ingenting att invända. Men vederbörande ha å andra sidan icke kunnat undgå att erkänna, att äfven andra synpunkter än den nu angifna ba kraf på beaktande. Departementscbefen har också som sin mening härvidlag uttalat — och denna hans mening har biträdts af Kungl. Maj:t — att till realskolor för gossar borde ombildas de läroverk, som synas kunna påräkna minst 100 lär- Jungar i fem klasser och som alltså, under förutsättning af ett motsvarande antallärjungar i sjette klassen, efter ombildningen skulle räkna minst 120 lärjungar, de, om hvilka kunde antagas, att samskoleformen ej för någon längre tid kunde äga bestånd, samt de, som vore belägna i samhällen, som voro stadda i snabb utveckling. Jag anser för min del, attläroverket i "Trelleborg fyller alla dessa fordringar. Till läroverkskommitténs förfogande har stått en statistik öfver lärjungeantalet vid rikets olika läroverk för 10-årsperioden 1891—1900. Denna statistik visar hvad Trelleborgs läroverk angår en mycket låg siffra, nämligen ett lärjungeantal under nämnda år af i medeltal endast 37,9. Jag anser emellertid, att denna statistik i detta sammanhang är vilseledande. Midten af 1390-talet utgör för Trelleborgs samhälle en epok. Från den tidpunkten har staden sedermera gått hastigt framåt, och nått den utveckling, som den nu kan berömma sig af. Stadens läroverk hade vid den tidpunkt, som jag nyss nämnde, gått ned så ansenligt, att dess lärjungeantal endast utgjorde 28. Vederbörande inom staden funno sig då föranlåtna att vidtaga åtgärder till upphjälpande</w:t>
        <w:br/>
        <w:br/>
        <w:t>hvilket antal klasser läroverket sedan arbetat. Därför ökades lärjungeantalet inom läroverket snabbt, hvilket ock framgår af statistiken i detta afseende. Jag skall icke trötta kammaren med att anföra många siffror, utan skall endast nämna ett par för att visa, huru stor denna ökning varit. Efter att år 1897 hafva visat så låg siffra, som jag nyss nämnde, utgjorde lärjungeantalet vid Trelleborgs läroverk — jag häller mig endast till höstterminerna — år 1898 42 stycken, år 1899) 63, år 1900 76, år 1901 71, år 1902 71 och år 1903 81, och visar läroverket i år siffran 83. Häraf framgår tydligt, att lärjungeantalet vid läroverket är i konstant tillväxt och så stor, att den tidpunkten icke kan vara långt borta, då läroverket kan påräkna i sina fem klasser minst 100 lärjungar.</w:t>
        <w:br/>
        <w:br/>
        <w:t>Vidare vill jag framhålla, att det är min öfvertygelse, att de nu anförda siffrorna skulle ha varit betydligt högre, därest läroverket arbetat under normala förhållanden. Så har icke varit fallet. Såsom herrarne hatva sig bekant, beslutades på sin tid, år 1882, att vid de treklassiga läroverken och pedagogierna inom riket de ordinarie lärarebefattningar, som därefter blefve lediga, icke skulle ånyo besättas med ordinarie innehafvare, utan tjänsten uppehållas på förordnande. Detta har haft till följd, att, hvad Trelleborgs läroverk angår, under de sista 10 åren icke mer än en enda lärare varit ordinarie, nämligen rektor, och denne har dessutom under en följd af icke mindre än sex år af allmänt uppdrag varit förhindrad att under vårterminen sköta sin tjänst, hvilken då äfven den blifvit uppehållen på förordnande. På grund häraf och äfven på grund af andra omständigheter har det varit en ständig växling af lärarekrafter vid Trelleborgs läroverk. Dit hafva skickats mestadels unga män utan pedagogisk erfarenhet, många utan att hafva genomgått profårskurs, och jag öfverdrifver icke, då jag säger, att på några få undantag när har ingen lärare stannat vid läroverket mer än en, högst två terminer. Under sådana förhållanden har det naturligtvis icke varit möjligt, att något förtroende för läroverket kunnat vinnas, och det är heller icke att undra öfver att folk dragit sig för att skicka dit sina barn. Det är vidare en annan omständighet, som gjort, att lärjungeantalet vid läroverket hållit sig så lågt, som nu varit fallet. När man nämligen i Trelleborg beslöt sig för att tillöka läroverket med en fjärde och en femte klass, fann man sig på samma gång föranlåten att af föräldrar eller målsmän för pojkarna begära en ärsafgilt för hvarje lärjunge, och denna årsafgift sattes jämförelsevis högt; den varierar mellan 75 och 100 kronor. Jag anser mig sålunda kunna påstå, att jag visat, att Trelleborgs läroverk synes kunna påräkna minst 100 lärjungar i fem klasser.</w:t>
        <w:br/>
        <w:br/>
        <w:t xml:space="preserve">Departementschefen framhöll vidare i sitt anförande till statsrådsprotokollet den synpunkten, att de läroverk borde ombildas till realskolor, om hvilka kunde förutsättas, att samskoleformen ej för någon längre tid skulle blifva beståndande. Denna synpunkt sammanhänger gifvetvis ganska nära med och är beroende af om det först framställda villkoret uppfylles. Härvidlag torde äfven </w:t>
      </w:r>
      <w:r>
        <w:rPr>
          <w:b/>
        </w:rPr>
        <w:t>flickskolorna²</w:t>
      </w:r>
      <w:r>
        <w:rPr>
          <w:b w:val="0"/>
        </w:rPr>
        <w:t xml:space="preserve"> som</w:t>
        <w:br/>
        <w:br/>
        <w:t xml:space="preserve">sådana hafva ett visst inflytande. Trelleborgs </w:t>
      </w:r>
      <w:r>
        <w:rPr>
          <w:b/>
        </w:rPr>
        <w:t>flickskola²</w:t>
      </w:r>
      <w:r>
        <w:rPr>
          <w:b w:val="0"/>
        </w:rPr>
        <w:t xml:space="preserve"> visar för Om ändrad närvarande ett lärjungeantal af 62 stycken, häri icke inberiknade anordning förberedande klassens elever. Men äfven dessa siffror skulle liksom AR siffrorna för läroverket ha varit betydligt mycket högre, därest </w:t>
      </w:r>
      <w:r>
        <w:rPr>
          <w:b/>
        </w:rPr>
        <w:t>flickläroverk²</w:t>
      </w:r>
      <w:r>
        <w:rPr>
          <w:b w:val="0"/>
        </w:rPr>
        <w:t xml:space="preserve"> skolan arbetat under normala förhållanden. Staden bar länge varit m.m. betänkt på att reorganisera jämväl denna skola, men har icke ansett (Forts. sig kunna göra detta förr än den väntade stora skolreformen vunnit</w:t>
        <w:br/>
        <w:br/>
        <w:t>sin slutliga lösning, då gifvetvis densamma måste kunna påräknas</w:t>
        <w:br/>
        <w:br/>
        <w:t xml:space="preserve">skola hafva inflytande äfven på </w:t>
      </w:r>
      <w:r>
        <w:rPr>
          <w:b/>
        </w:rPr>
        <w:t>flickskolornas²</w:t>
      </w:r>
      <w:r>
        <w:rPr>
          <w:b w:val="0"/>
        </w:rPr>
        <w:t xml:space="preserve"> ordnande.</w:t>
        <w:br/>
        <w:br/>
        <w:t>Slutligen yttrade departementschefen i sitt anförande till statsrådsprotokollet — och detta hans uttalande anser jag i detta sammanhang vara det viktigaste — att de läroverk borde ombildas till realskolor för gossar, som äro belägna i samhällen, som synas stadda i mycket snabb utveckling. Jag vågar utan tvekan påstå, att om detta öfver hufvud kan sägas om något samhälle i vårt land, är det om Trelleborgs stad. I vanligaste fall brukar man, när man gör ett sådant påstående, till stöd för detsamma åberopa folkökningen.</w:t>
        <w:br/>
        <w:br/>
        <w:t>Så ha här äfven målsmännen för Sala och Södertälje gjort, och man kan säga, att så har äfven Kungl. Maj:t i viss mån gjort med afseende å Oskarshamn. Trelleborg visar visserligen i detta hänseende en jämförelsevis blygsam siffra. Staden hade den 31 december 1903 ej mer än 3,174 invånare. Men detta beror på särskilda förhållanden. Trelleborg fick sina svenska stadsrättigheter år 1867. Hvad som då kunde hafva föranledt vederbörande att på sätt som skedde begära så ringa utmål för staden, är svårt att afgöra. Samhället var redan då bebyggdt långt utom det område, som sedermera bestämdes såsom stadens, med kvarter och gator. Så som stadens område då emellertid fastställdes, kom det att blifva det minsta stadsområde i hela vårt land. Därigenom har emellertid stadens utveckling i hög grad hämmats. För ett samhälle med stora utvecklingsmöjligheter spelar ju folkökningen den största roll, och folkökningen måste härvid gifvetvis till ojämförligt största del bero på inflyttning utifrån. För en dylik inflyttning till Trelleborg har stadens begränsade område lagt hinder i vägen. Inflyttning har i stället ägt rum i Trelleborgs landsförsamling. Såsom jag nyss nämnde, var Trelleborgs samhälle vid tiden för stadsprivilegiernas utfärdande bebyggdt äfven utom stadens nuvarande område, och detta sakförhållande föreligger i långt större grad nu än då. Hela den kringliggande trakten är tätt bebyggd, med kvarter och gator alldeles som själfva staden, och en person, som ej känner närmare till förhållandena, kan icke afgöra, hvar staden slutar och landet tager vid. Det har också sedan länge legat tydligt för Trelleborgs stad och Trelleborgs landsförsamling, att samhällena icke kunde i någon vidare mån utnyttja de rika utvecklingsmöjligheter, som faktiskt finnas för samhällena, med mindre de båda kommunerna sammansloges till en. Också hafva kommunerna nu under trycket af denna visshet hos Kungl. Maj:t anhållit om bifall till en dylik sammanslagning och att med kommunerna måtte få förenas jämväl ett visst mindre område af en tredje angränsande kommun, som kilformigt skjuter in mellan Trelleborgs stad och landsförsamlingen. Denna ansökan ingafs till</w:t>
        <w:br/>
        <w:br/>
        <w:t>heter, som hafva att yttra sig i ärendet, hafva afgifvit utlåtanden, samtliga med tillstyrkan af ansökningen. Man kan sålunda med säkerhet pästå, att Kungl. Maj:t kommer att bifalla den ifrågavarande framställningen, så att Trelleborgs stad och landsförsamling inom den allra närmaste tiden komma att utgöra en enhet, den nya staden. Vi antogo och hoppades till en början, att denna sammanslagning skulle vara genomförd till den 1 januari 1905, men omständigheterna ha lagt hinder i vägen därför. Jag vågar dock med bestämdhet häfda, att sannolikhet föreligger för att den 1 januari 1906 den nya organisationen skall vara till alla delar genomförd. Jag anser mig därför i detta sammanhang kunna räkna med landsförsamlingen och staden såsom en enhet, och då ställer sig folkmängdssiffran helt annorlunda än för enbart staden. I landsförsamlingen uppgick folkmängden den 31 december 1903 till 4,391 personer, om man därtill lägger stadens folkmängd vid samma tid, hvilken — såsom jag nyss nämnde — utgjorde 3,174, blir den sammanlagda folkmängden i staden och landsförsamlingen 7,565 personer. Jag sade nyss, att målsmännen här för Sala och Södertälje såsom bevis för dessa städers snabba framåtgående åberopat folkökningen för desamma. De hafva därvid anfört en statistik, som omfattar icke mindre än 22 år, och då visar det sig, att under så många år har Sala ökats med 2,328 invånare och Södertälje med 5,136. Jag vill icke taga så lång tid som 22 år för att visa, bur snabb folkökningen varit i Trelleborg, utan jag skall nöja mig med att endast taga hänsyn till de sista åtta årens statistik. Sålunda utgjorde den sammanlagda folkmängden inom Trelleborgs stadsförsamling och landsförsamling den 31 december 1895 5,526 personer och den 31 december 1903 7,565 personer, alltså en ökning under dessa åtta år af 2,039 personer. Såsom vi veta, har Kungl. Maj:t föreslagit, att Oskarshamns läroverk måtte ombildas till realskola för gossar, och som skäl därför anför Kungl. Maj:t, att staden är stadd i snabb utveckling. I en vid utskottets utlåtande fogad reservation har åberopats en statistik omfattande jämväl Oskarshamn. Enligt denna utgör folkökningen i Oskarshamn på 22 år 1,967 stycken, alltså mindre än folkökningen i Trelleborg under de åtta sista åren.</w:t>
        <w:br/>
        <w:br/>
        <w:t>Det finnes emellertid andra saker, som jag kan åberopa som bevis för mitt påstående, att Trelleborg sedan några år tillbaka befinner sig i ett snabbt framåtskridande. Så kan jag peka på den utveckling i ekonomiskt afseende, som staden under dessa år genomgått. Den bevillning, som från Trelleborgs stad — jag fäster mig icke här vid landsförsamlingen — erlades för år 1895, uppgick till 9,383 kronor, medan bevillningen för år 1903 uppgick till 19,687 kronor, alltså mer än en fördubbling. Stadens budget, förslag till dess inkomstoch utgiftsstat, slutade för år 1896 på 74,949 kronor och för år 1904 på 196,961 kronor, således nära en tredubbling. Jag vill hafva anmärkt, att den kommunala uttaxeringen per bevillningskrona varit densamma under sagda och däremellan liggande år. Hamnafgifterna till Trelleborgs stad uppgingo år 1895 till 48,664 kronor och för år 1903 till 80,000 kronor, och därvid är att märka, att</w:t>
        <w:br/>
        <w:br/>
        <w:t>postbåtarne mellan Trelleborg och Sassnitz äro befriade från hvarje Om ändrad hamnafgift till staden. RU nång Jag anser mig sålunda hafva skäl för den motion, som jag i nd denna fråga väckt. Gent emot dessa mina skäl har utskottet endast läroverk anfört, att det skulle innebära en fara att biträda min motion, enär — m.m. man därigenom lätteligen skulle kunna begå någon orättvisa emot «(Forts.) vissa andra städer. Jag vill för min del visst ej vara med om någon orättvisa gent emot andra städer, men kan ej heller finna skäl föreligga, att man bör visa någon sådan mot Trelleborg, och ett bifall till utskottets hemställan i denna del innebär en orättvisa. Om förslaget till läroverksreformen icke kommit in för Riksdagen i år, utan exempelvis först 1906, då skulle staden kunnat visa på de förhållanden, jag här berört, såsom ett fullbordadt faktum. Det är min bestämda öfvertygelse, att vederbörande då hade kunnat bibringas en annan uppfattning i denna fråga, än den, som de nu här gjort gällande. Herr talman! Jag skall inskränka mig till hvad jag nu yttrat och anhåller att på anförda skäl få yrka bifall till den i herr Dahns m. fl. reservation gjorda hemställan om bifall till min nu förevarande 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962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