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989</w:t>
      </w:r>
    </w:p>
    <w:p>
      <w:r>
        <w:rPr>
          <w:b/>
        </w:rPr>
        <w:t xml:space="preserve">Datum: </w:t>
      </w:r>
      <w:r>
        <w:t>1905-05-13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Meyer (–, man)</w:t>
      </w:r>
    </w:p>
    <w:p>
      <w:r>
        <w:rPr>
          <w:b w:val="0"/>
        </w:rPr>
        <w:t>Jag vill endast påpeka, att, om ett utskänkningsbolag öfverlåtit en rättighet på någon person, har ju bolaget rättighet att föreskrifva hvilka villkor som helst.</w:t>
        <w:br/>
        <w:br/>
        <w:t>Jag kan ju icke säga, huru detta stadgande juridiskt skall tolkas, därför att jag själf icke är jurist, så att hvad jag i det fallet säger, har ju icke någon betydelse. Men det förefaller mig, som om den af herr Roos gifna tolkningen skulle vara den riktiga.</w:t>
        <w:br/>
        <w:br/>
        <w:t xml:space="preserve">Det är ju genom ett kontrakt, som förhållandet mellan bolaget och den enskilde, som får rättigheten på sig öfverlåten, bestämmes. I händelse det icke står något särskildt stadgadt däri, då skall den allmänna regeln i stadgandet gälla. Då säger lagen, att han är skyldig att ifrån bolaget taga allt det brännvin, som han behöfver, och som af bolaget hålles till salu. Men när han icke kan få hvad han behöfver hos bolaget, får han köpa det på annat håll. Om bolaget t. ex. tillhandahåller endast enstjärnig </w:t>
      </w:r>
      <w:r>
        <w:rPr>
          <w:b/>
        </w:rPr>
        <w:t>Hennesy²</w:t>
      </w:r>
      <w:r>
        <w:rPr>
          <w:b w:val="0"/>
        </w:rPr>
        <w:t xml:space="preserve">, men den, som fått rättigheten på sig öfverlåten, anser sig behöfva trestjärnig </w:t>
      </w:r>
      <w:r>
        <w:rPr>
          <w:b/>
        </w:rPr>
        <w:t>Hennesy²</w:t>
      </w:r>
      <w:r>
        <w:rPr>
          <w:b w:val="0"/>
        </w:rPr>
        <w:t xml:space="preserve"> för sin affär, då är han — enligt min mening — berättigad att köpa trestjärnig </w:t>
      </w:r>
      <w:r>
        <w:rPr>
          <w:b/>
        </w:rPr>
        <w:t>Hennesy²</w:t>
      </w:r>
      <w:r>
        <w:rPr>
          <w:b w:val="0"/>
        </w:rPr>
        <w:t xml:space="preserve"> hvar han behagar.</w:t>
        <w:br/>
        <w:br/>
        <w:t>Därest vid entreprenadauktion å skjutsningen vid gästgifveri å landet denna varder af annan än gästgifvaren öfvertagen, men gästgifverihållningen icke tillika på entreprenören öfverlåtes, vare gästgifvaren fortfarande bibehållen vid den rättighet till utskänkning af maltdrycker, som enligt gällande förordning om försäljning af sådana drycker honom tillkommer. Varder åter gästgifverihållningen i sammanhang med skjutsningen för den period, entreprenaden omfattar, på entreprenören öfverlåten och till den af honom erbjudna lägenhet förflyttad, må gästgifvaren under tiden icke utöfva ifrågavarande försäljningsrättighet, utan kommer densamma att i förening med gästgifverihållningen för nämnda tid på entreprenören öfvergå.</w:t>
      </w:r>
    </w:p>
    <w:p>
      <w:pPr>
        <w:pStyle w:val="Heading2"/>
      </w:pPr>
      <w:r>
        <w:t>2. unknown (–, –)</w:t>
      </w:r>
    </w:p>
    <w:p>
      <w:r>
        <w:rPr>
          <w:b w:val="0"/>
        </w:rPr>
        <w:t>Jag ber att få fästa brännvin.</w:t>
        <w:br/>
        <w:br/>
        <w:t>kammarens uppmärksamhet på att här i 8 $:s sista moment be- = (Forts.) gagnas ordet »maltdrycker», ehuru i hela förordningen angående</w:t>
        <w:br/>
        <w:br/>
        <w:t>vin och öl ordet »maltdrycker» blifvit utbytt mot ordet »öl». I enlighet härmed bör man, synes det mig, i denna 8 $ utbyta ordet »maltdrycker» mot ordet »öl», och således böra sista orden i mo-</w:t>
        <w:br/>
        <w:br/>
        <w:t>Jag ber att få erinra om, att i den paragraf, som hänvisningen afser, eller 6 $&amp; i förordningen angående försäljning af vin och öl, begagnas just i andra momentet ordet »öl». Det heter där: »Gästgifvare äge utan särskildt tillstånd rätt att till resande utskänka öl i samband med servering af mat». Konsekvensen synes mig då fordra, att ordet »maltdrycker» i dessa paragrafer, den 8:de och 28:de, utbytas mot ordet »öl».</w:t>
        <w:br/>
        <w:br/>
        <w:t>Jag i förmodar, att det endast beror på ett förbiseende inom utskottet, att så icke skett.</w:t>
        <w:br/>
        <w:br/>
        <w:t>och 1908 och stående under riksgäldskontorets förvaltning, från hvilken fond Kungl. Maj:t skulle äga meddela lån till byggande eller utvidgning af folkskolehus och småskolehus på landsbygden och i städer, där vederbörande kommun befunnes däraf vara i behof.</w:t>
      </w:r>
    </w:p>
    <w:p>
      <w:pPr>
        <w:pStyle w:val="Heading2"/>
      </w:pPr>
      <w:r>
        <w:t>3. Theodor Carlheim Gyllensköld (–, man)</w:t>
      </w:r>
    </w:p>
    <w:p>
      <w:r>
        <w:rPr>
          <w:b w:val="0"/>
        </w:rPr>
        <w:t>Herr talman, mina herrar! Statsutskottet söker i sitt utlåtande misstänkliggöra förslaget om bildande af ifrågavarande lånefond-genom att säga, att i min motion »är fråga endast om en särskild kommunal angelägenhet», och yttrar därefter några polemiserande ord i samma riktning. Men enligt min åsikt är folkskoleväsendet vida mera en statsangelägenhet än en kommunal sådan. Detta kan bevisas däraf, att folkskollärarnes löner till största delen betalas af staten, hvilket ock är fallet med pensionsafgifter för dessa lärare. Vore folkskoleväsendet icke en statsangelägenhet, skulle detta icke på långt när kunna se ut som det gör.</w:t>
        <w:br/>
        <w:br/>
        <w:t xml:space="preserve">Förhållandet är nu det, att nya normalritningar till folkskolehus för närvarande äro föremål för utarbetande. Af dessa ritningar framgår, att en lärosal i folkskola icke får inrymma ett högre antal barn än 50, samt att en lärarebostad skall innehålla minst tre rum och kök jämte flera bekvämligheter. Detta gör, att uppförandet af folkskolebyggnader blir för framtiden ansenligt fördyradt. Men huru - har allt detta kommit till? Jo, Kungl. Maj:t har ansett detta tillhöra sin ekonomiska lagstiftningsrätt. Kungl. Maj:t har rätt att beträffande folkskoleväsendet göra en del förfoganden, och Kungl. Maj:t har plikt att göra detta i sådant hänseende, att han måste tillse eller öfvervaka, att de lokaler, som folkskolan begagnar, äro både hygieniska och för undervisningen lämpliga. Men biprodukten af detta i och för sig mycket riktiga förfarande är, att det åsamkar kommunerna ansenligt ökade kostnader. Vi tänka oss t. ex. att i en kommun finnes en folkskola med en lärosal afsedd för, låtom oss säga 60 barn. Enligt det nya förslaget skulle emellertid icke flera än 50 barn få inrymmas i en och samma lärosal. För det öfverskjutande tiotalets skull blir man då tvungen att bygga till en skolsal och så bostad för en ny lärare eiler </w:t>
      </w:r>
      <w:r>
        <w:rPr>
          <w:b/>
        </w:rPr>
        <w:t>lärarinna³</w:t>
      </w:r>
      <w:r>
        <w:rPr>
          <w:b w:val="0"/>
        </w:rPr>
        <w:t>; skolan blir då, skulle man kunna säga, tvåklassig. Att Kungl. Maj:t på denna omväg företager sig att lägga så stor skattetunga på folket kan visserligen moraliskt försvaras, men det är i alla fall en omväg, som absolut icke öfverensstämmer med grundlagen. Jag tror där-</w:t>
        <w:br/>
        <w:br/>
        <w:t>för, att det vore allt skäl, att Riksdagen sökte undanröja detta miss- Om bildande förhållande genom att besluta uppläggandet af en fond, från hvil- 4/ SS ken kommunerna, när de ämnade bygga folkskolehus, kunde få för än till. låna pengar mot statens egen inlåningsränta. Det mest rationella och för bygvore uppenbarligen, att staten bidroge till kostnaderna för dessa gande af folkbyggnader. Men detta har jag nu icke velat ens ifrågasätta, utan skolehus m.m. blott föreslagit, att kommunerna skulle för ändamålet i fråga kunna (Forts. erhålla lån på samma villkor staten själf får låna pengar. Detta därför, att en kommun, som skall bygga ett folkskolehus och med anledning däraf behöfver uppträda på lånemarknaden, visserligen kan få låna pengar ur någon kassa, såsom folkskollärarnes pensionsinrättning, men då denna kassa liksom alla andra har en både naturlig och berättigad sträfvan att hålla räntefoten hög för att kunna uppfylla sitt ändamål, pensioners utbetalande, på grund häraf får betala högre ränta än hvad den skulle behöfva göra, om den finge af staten låna de erforderliga medlen. När nu folkskoleväsendet är ett statsändamål och man ju icke kan meddela den för folket erforderliga undervisningen, om icke lämpliga lokaler därför finnas, — är det då så orimligt att begära något så moderat, som att staten, för att underlätta uppfyllandet af detta statsändamål, skulle upplägga en lånefond, ur hvilken kommunerna, som skola tillhandahålla dessa lokaler, får mot skälig ränta låna pengar till anskaffande af dessa lokaler? För knappt fem minuter sedan voterade kammaren ett lika stort belopp som det här ifrågasatta, eller 5 miljoner kronor, utöfver redan förut befintliga 5 miljoner, till en för understöd åt landets rederinäring afsedd fond, hvilken därigenom således stigit ända till 10 miljoner kronor. Jag har nu ingenting att säga emot detta nyss fattade beslut; jag deltog själf däri med nöje. Men jag vågar påstå, att, huru viktig än rederifrågan, såsom en omfattande ekonomisk fråga, må vara, spelas dock en betydligt större roll af frågan om folkundervisningen, hvilken berör hela landet och alla lager af dess befolkning. Vi hafva ju också för icke så lång tid sedan lyckats, gemensamt med Första Kammaren, afpruta något från de rike männen, som stå i spetsen för landtoch sjöförsvarsdepartementen, och därigenom kunnat göra besparingar, som äro större än det belopp, som nu föreslås att afsättas till en fond. Skulle icke då Andra Kammaren kunna lemna den jämförelsevis fattige Lazarus denna fond, afsedd till hela folkets nytta? Då det nu skulle kunna anmärkas, att mitt förslag icke innehåller någon begränsning i fråga om lånebeloppens storlek. utan att en eller annan kommun skulle kunna kräfva ett allt för högt belopp och fonden därigenom hastigt uttömmas, samt då man dessutom tycks misstänka, att städerna hbärvidlag skulle taga för sig alltför mycket — en misstanke, som jag för min del icke hyser, ty städerna hafva ju också folk, och folkskoleundervisningen i städerna är ju också ett statsändamål — så vill jag, för att icke utsätta förslaget</w:t>
        <w:br/>
        <w:br/>
        <w:t>för dessa stora stötestenar, härmed, herr talman, anhålla om proposition uppå, att till motionens kläm måtte få göras följande tillägg: »dock e till högre belopp för hvarje gång än 30,000 kronor till hvarje sökande kommun.» :</w:t>
        <w:br/>
        <w:br/>
        <w:t>Med anhållan således om detta tillägg till motionens kläm anhåller jag därjämte om bifall till motionen med den sålunda ändrade klämmen.</w:t>
        <w:br/>
        <w:br/>
        <w:t>Vidare skulle jag vilja erinra kammaren därom, att den ärade motionären icke endast föredragit landskommunerna såsom berättigade att i detta fall räkna på statens mellankomst, utan i sitt förslag medtagit äfven städerna. Nu veta vi emellertid, atti städerna hafva folkskolehusen på senare tider börjat byggas i den storlek och till sådana kostnader, att det belopp, som motionären nu föreslår skola afsättas till en fond för lån till dylika byggnadsföretag, icke skulle räcka långt. I synnerhet i de större städerna kunna nämligen de nyare folkskolehusen räknas till de så kallade millionhusen, och då räcka ju de fem millionerna i den föreslagna lånefonden ej långt. Hade motionären i sitt förslag hållit sig ensamt till landsbygden och dess behof af lånemedel för ifrågasatta ändamål, då hade jag bättre kunnat förstå honom. Men när han nu medtagit jämväl städerna, synes hans förslag icke på något sätt antagligt.</w:t>
        <w:br/>
        <w:br/>
        <w:t>Det är på dessa skäl, som jag ber att få yrka afslag på motio- Om bildande närens förslag, icke allenast sådant det förekommer i motionen utan 94f en fond</w:t>
        <w:br/>
        <w:br/>
        <w:t>8 a : s ör lån till också sådant det nu formulerats i hans nyss gjorda yrkande. förman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