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73</w:t>
      </w:r>
    </w:p>
    <w:p>
      <w:r>
        <w:rPr>
          <w:b/>
        </w:rPr>
        <w:t xml:space="preserve">Datum: </w:t>
      </w:r>
      <w:r>
        <w:t>1907-02-16</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Cornelius Sjöcrona (Första kammarens protektionistiska parti, man)</w:t>
      </w:r>
    </w:p>
    <w:p>
      <w:r>
        <w:rPr>
          <w:b w:val="0"/>
        </w:rPr>
        <w:t>Det kan ingalunda falla mig in bestrida, att enhvar riksdagsman har fullkomlig rätt att år efter år komma fram med samma förslag, om han anser detta vara af synnerlig vikt och behböfligt för samhällets bästa. Vi ha ju nyss här i Första Kammaren bifallit ett förslag, som Första Kammaren afslog i fjol, hvaraf framgår, att åsikterna kunna mogna, så att man kan åstadkomma förändrade beslut. Men jag kan icke riktigt afvisa från mig den tanken, att då denna i och för sig obetydliga sak nu återigen drages under Riksdagens pröfning, föreligger här ett visst rätthafveri från dessa djurskyddsföreningars sida, ty motionären säger själf, att det är på föranledande af djurskyddsföreningarna, som han nu framkommit med sitt förslag. Saken är, såsom jag tillät mig säga, ganska obetydlig, och lagändringen kan icke därför vara af något framträdande behof påkallad. Strafflagen innehåller ju redan bestämmelser om straff för uppenbar grymhet mot egna eller andras hemdjur, och det till och med så pass allvarliga, att strafflatituden går upp till sex månaders fängelse. Därigenom har ju lagstiftaren oförtydbart uttalat sin förkastelsedom öfver den råhet i sinnena, som kränker andra medborgares rättsmedvetande och hos dem väcker förargelse. Men då lagstiftaren icke utsträckt detta till alla djur, således äfven till dem, som icke äro »egna eller andras hemdjur&gt;, har lagstiftaren ingalunda därmed uttalat, attlagstiftaren gillar grymhet mot vilda djur och ännu mindre uppmuntrat därtill. Här är således icke fråga om att det skulle finnas, så att säga, en svart fläck i vår strafflagstiftning, som bör tagas bort, ty vår strafflag uttalar sig klart och tydligt mot all grymhet mot djur. Således kan jag icke finna, att lagändringen är beböflig för aflägsnande af något sådant. Den nu föreslagna lagändringens formella affattning är dessutom af beskaffenhet, att den icke gärna kan godkännas, såsom utskottet har föreslagit ordalagen. Ty något slags begränsning måste det finnas. Icke kan det väl vara meningen, att detta djurskydd skulle utsträckas äfven till insekter och blötdjur. Det är välicke meningen, att, om man t. ex. låter en fluga en längre tid sitta fast i en klibbig</w:t>
        <w:br/>
        <w:br/>
        <w:t xml:space="preserve">vätska, som blifvit utsatt för att fånga </w:t>
      </w:r>
      <w:r>
        <w:rPr>
          <w:b/>
        </w:rPr>
        <w:t>henne²</w:t>
      </w:r>
      <w:r>
        <w:rPr>
          <w:b w:val="0"/>
        </w:rPr>
        <w:t>, detta skulle kunna Angående straffas såsom djurplågeri. Jag tror icke, att det är enligt svenska Skärpning af folkets rättsmedvetande att så göra. Således är det min bestämda 2” för oo = . HEN . . . ; grymhet mot öfvertygelse, att lagförslaget i den form, hvari det nu föreligger, icke” ” djur. kan godkännas. Straffbar grymhet mot vilda djur är ju dessutom = (Forts. alldeles säkert mycket eällsynt. Utöfvas någon gång sådan grymhet af straffmyndig person, lära i de flesta fall förhållandena vara sådana, att det icke är möjligt att åstadkomma någon bevisning, ty han tager icke vittnen med sig i sådant fall.</w:t>
        <w:br/>
        <w:br/>
        <w:t>Det kan hända, att minderåriga pojkar göra sig skyldiga till sådant, men de kunna ju icke straffas. Hvad tjänar det då till att för deras skull hafva en sådan straftbestämmelse i lagen? Jag kan därför icke komma till den öfvertygeisen, att denna lagändring, äfven med nödig begränsning, skulle medföra något verksamt och afsevärdt skydd mot djurplågeri. Men lagändringen kan, såsom jag sagt i min "reservation, däremot gifva upphof till många mer eller mindre ' obefogade angifvelser om grymhet och såmedelst vålla trakasserier mot utöfvare af jakt, fiske eller annan djurfångst. Trots allt detta kunde man ju, då lagändringen som sagdt är ganska obetydlig, låta den passera, men just därför att vi hafva dessa fanatiska djurskyddsföreningar, riskera vi ständiga trakasserier. Jag får säga, att jag verkligen icke vill, att man i mitt kök gör sig skyldig till grymhet mot djur, som där behöfva användas för matlagning, men å andra sidan vill jag icke, att dessa djurskyddsvänliga damer skola spionera i mitt eller i andra enskilda personers kök.</w:t>
        <w:br/>
        <w:br/>
        <w:t>På grund af hvad jag nu i korthet anfört och under åberopande af min reservation, skall jag tillåta mig yrka afslag å lagutskottets hemställan.</w:t>
      </w:r>
    </w:p>
    <w:p>
      <w:pPr>
        <w:pStyle w:val="Heading2"/>
      </w:pPr>
      <w:r>
        <w:t>2. Carl David Uppström (–, man)</w:t>
      </w:r>
    </w:p>
    <w:p>
      <w:r>
        <w:rPr>
          <w:b w:val="0"/>
        </w:rPr>
        <w:t>Jag skall icke uppehålla kammaren med många ord rörande denna fråga, som, på sätt den föregående talaren sade, är ganska obetydlig; men om den nu skulle afslås, kommer den med säkerhet tillbaka, och det kan hända, att det går med den ett annat är alldeles liksom nyss med alkoholistfrågan, nämligen att den i en bastig vändning bifalles. Den går dessutom, såvidt jag förstår, i rätt riktning, och de betänkligheter, som lagutskottets ordförande anfört mot densamma, finner jag för min del icke befogade. De betänkligheterna hafva uttalats många gånger förut. De äro redan bemötta, såsom man kan se af kammarens protokoll från föregående riksdagar. Ett vidare bemötande nu från min sida skulle blott vara ett upprepande af hvad som sagts flera gånger förut, och därmed vill jag icke trötta kammaren. Jag är säker på, att hvar och en af kammarens ledamöter redan har sin ställning i frågan klar, och därför skall jag inskränka mig till att yrka bifall till utskottets betänkande.</w:t>
      </w:r>
    </w:p>
    <w:p>
      <w:pPr>
        <w:pStyle w:val="Heading2"/>
      </w:pPr>
      <w:r>
        <w:t>3. Magnus Unger (Första kammarens protektionistiska parti, man)</w:t>
      </w:r>
    </w:p>
    <w:p>
      <w:r>
        <w:rPr>
          <w:b w:val="0"/>
        </w:rPr>
        <w:t>Jag är visserligen en mycket stor djurvän och vill gärna skydda mot oskälig grymhet äfven vilda djur, men det finnes gränser för detta skydd. Det kan icke under alla förhållanden undvikas, att man förfar med grymhet mot vilda djur vid deras infångande eller eljest. Det är naturligtvis en uppenbar grymhet att</w:t>
        <w:br/>
        <w:br/>
        <w:t xml:space="preserve">fiska med lefvande agn, att till exempel sätta på kroken en löja och sedan låta </w:t>
      </w:r>
      <w:r>
        <w:rPr>
          <w:b/>
        </w:rPr>
        <w:t>henne²</w:t>
      </w:r>
      <w:r>
        <w:rPr>
          <w:b w:val="0"/>
        </w:rPr>
        <w:t xml:space="preserve"> gå och pinas i timtal, det är grymt att snärja fågel, men icke vittja hvarje dygn, utan låta det fångade ligga i snaran och pinas kanske många dagar. Det är grymhet att draga ut ur grytet en sårad räf, som gått under, men måbända ännu större grymhet att låta honom ligga kvar och förblöda. Allt detta, som är oundvikligt för bedrifvande at jakt, fiske eller djurfångst, kan icke lämpligen subsumeras under strafflagens stadganden om grymhet mot djur. Detta skulle omöjliggöra både jakt och fiske. Det låter ganska enkelt och lätt att förändra orden »egna och andras kreatur» till »djur&gt;, så att stadgandet komme att lyda: »visar någon i behandling af djur uppenbar grymhet, straffes med böter». Detta kan dock göras gällande endast med stora restriktioner. Om stadgandet formulerades t. ex. så här: »Visar någon i behandlingen af egna eller andras kreatur uppenbar grymhet eller af okynne grymt plågar andra djur&gt;, vore därmed en gräns bestämd och man hade någon säkerhet mot trakasserier. Kanske mången domare, som ej såge saken praktiskt, i annat fall skulle döma till ansvar den, som t. ex. fiskade på sådant sätt, att han ej dödade den upptagna fisken, utan läte den ligga och långsamt pinas till döds. Det är ju ett förfärligt djurplågeri, kunde man finna, och det låter sig ju göra för den, som t. ex. metar, att sticka fisken, men sådant gär ej för sig, då man tager upp så och så många hektoliter sill e. d. Om sådan restriktion, som jag här ofvan angifvit, vore gjord, skulle jag mycket gärna vara med om ändring i åsyftad riktning. Nu förmenar visserligen lagutskottet, att »detta uttryck, uppenbar grymhet, icke är något nytt, utan rörande dess betydelse efter en längre tids lagtillämpning bör hafva bildat sig en stadgad allmän uppfattning, som icke lämnar domaren utan ledning vid den honom i förekommande fall åliggande pröfningen&gt;, men detta har ju icke afseende på nu ifrågasatt skydd för vilda djur. Den praxis, som utbildat sig i fråga om djurplågeri i afseende å t. ex. hästar, kan icke inverka vid bedömande af djurplågeri, då det gäller en fågel, en löja eller en räf. Det är då andra förhållanden, som måste tagas hänsyn till. Den praxis, som är allmän i fråga om bemdjur, kan icke tjäna till ledning vid bedömandet af hvad som är grymhet vid behandling af vilda djur.</w:t>
        <w:br/>
        <w:br/>
        <w:t>Jag skulle, såsom sagdt, gärna vara med om lagens ändring, därest nu förelåge ett förslag, sådant som jag nyss antydde, och som jag hoppas snart måtte komma, hvarigenom uteslötes all oriktig tillämpning och alla orimliga slutsatser om hvad som vore att anse för straffbar grymhet mot vilda djur. Men då sådant förslag nu icke föreligger, och kammaren väl icke på rak arm kan taga ett här formuleradt förslag, återstår för mig icke annat än att yrka afslag på utskottets hemställan.</w:t>
      </w:r>
    </w:p>
    <w:p>
      <w:pPr>
        <w:pStyle w:val="Heading2"/>
      </w:pPr>
      <w:r>
        <w:t>4. Carl Nyström (Första kammarens protektionistiska parti, man)</w:t>
      </w:r>
    </w:p>
    <w:p>
      <w:r>
        <w:rPr>
          <w:b w:val="0"/>
        </w:rPr>
        <w:t>Man kan vara ärlig och varm djurvän och ändå nödgas motsätta sig en lagstiftning af den art, som här föreslagits. Det är nämligen först och främst att märka, att om de löften hållas, som finnas gifna i motiveringen, men icke stå i klämmen, nämligen att jakt och fiske skola vara undantagna samt att,</w:t>
        <w:br/>
        <w:br/>
        <w:t>sasom äfven förra året försäkrades, nödiga experiment på djur för Angående vetenskapliga ändamål skola gå fria, så återstår ett så ytterst ringa skärpning af antal fall, då lagen skulle tillämpas, att man har rätt att säga: det grtikel wiot är icke skäl i att syssla med lagstiftning, helst strafflagstiftning, för ”” djur. så få undantagsfall. Ty hvilka skulle den gälla? Någonstädes i (Forts.) skogen eller på sjön förekomma sådana fall, föreställer man sig, men då finnas för dem inga vittnen, och de blifva således icke beifrade. Saken kommer således att inskränka sig därtill, att man iakttager och vänder sig emot en och annan minderårig, som af okynne öfvat grymhet mot vilda djur; men det må väl herrarne erkänna, att dessa fall blefve mycket få, och för öfrigt kunde de icke heller leda till någon straffpåföljd. Hvarför skall man då fuska i strafflagen med ändringar at så betydelselös art som de föreliggande? Förseelser, som skulle kunna drabbas af straffpåföljd, blefve, såsom sagdt, först och främst ytterst få och vidare i de flesta fall utan vittnen. En dylik lagstiftning i luften, så onödig som denna, borde man, synes mig, icke inlåta sig på.</w:t>
        <w:br/>
        <w:br/>
        <w:t>Då här blifvit sagdt, att lagens tillämpning så sällan komme att äga rum, var detta under förutsättning, att såväl jakt och fiske som vivisektion skulle gå fria från åtal före djurplågeri, men är detta säkert? Det står icke ett ord därom i själfva lagtexten, att de äro undantagna, ehuru det står här och där i resonemanget samt framgår af frågans historia. Dömer då en domstol efter hvad som förekommit i diskussionen hos lagstiftaren, efter lagens motivering, eller dömer den efter lagtexten? Jag vet nu icke så noga, men förmodar, att det bör dömas efter lagtexten, och då står här taladt om »uppenbar grymhet mot djur», i detta fall mot vilda djur; där finnes icke gjordt något undantag. Man hänvisas till hvad som blifvit sagdt under debatten och oupphörligen upprepats, att jakt och fiske skola vara undantagna, men det är icke nog med att detta framgår af resonemangen.</w:t>
        <w:br/>
        <w:br/>
        <w:t>Det finnes äfven åtskilligt annat, som är olycksbådande. Man har sagt, att den behandling af vilda djur, som sker med användande af fångstsätt eller jaktmetoder, som »äro medgifna i gällande lag och sedan gammalt förekommit på skilda orter och så länge dessa utöfvas på brukligt sätt och man icke öfverskrider hvad den i orten gällande meningen anser vara tillåtet, lärer man icke vara hemfallen under straff». Denna behandling skulle alltså vara oåtkomlig, men är med dessa något sväfvande bestämmelser nödig trygghet vunnen? Det håller icke streck, såsom torde framgå af ett exempel. Det finnes ett fiskredskap, som kallas »utter», hvilket införts från England och hvars användning i vissa delar af landet fått mycket stor utsträckning — i Vänern utöfvas detta fiskesätt i mycket stor skala. För detta gäller naturligtvis icke, att det är ett &gt;fångstsätt, som sedan gammalt förekommit» 0. s. v., och således vore där ett fall, där lagen äfven med ofvan gifna restriktion kunde tillämpas, och det på ett för resten ganska lämpligt fiske.</w:t>
        <w:br/>
        <w:br/>
        <w:t>Det viktigaste är, såsom sagdt, att jag icke tror, att lagen kommer att tillämpas enligt de olika resonemang, som förekommit under debatterna i Riksdagen, då man talat om frågans historia. Så länge</w:t>
        <w:br/>
        <w:br/>
        <w:t>lagen icke innehåller annat än detta &gt;uppenbar grymhet mot djur», utan att där finnes något undantag gjordt för jakt och fiske m. m., och så länge den endast kan blifva tillämplig i så ytterst få fall, och det i dessa ytterst få fallen blir så svårt att åstadkomma bevisning, finner jag icke något skäl föreligga till dylik lagstiftning, och får jag således yrka afslag.</w:t>
      </w:r>
    </w:p>
    <w:p>
      <w:pPr>
        <w:pStyle w:val="Heading2"/>
      </w:pPr>
      <w:r>
        <w:t>5. unknown (–, –)</w:t>
      </w:r>
    </w:p>
    <w:p>
      <w:r>
        <w:rPr>
          <w:b w:val="0"/>
        </w:rPr>
        <w:t>Andra Kammaren har gång på gång antagit denna lagändring, och den kammaren innehåller, efter hvad jag har mig bekant, åtskilliga representanter, som äro hänvisade till att lefva af jakt och fiske. Dessa hafva icke några betänkligheter mot att antaga denna lagändring. Det visar, att de hafva fullt medvetande om, att lagändringen icke skulle träffa jakten och fisket, då dessa sysselsättningar utöfvas efter på de olika orterna gällande sed. Lagutskottet har också tagit alldeles bestämdt afstånd från att denna lag skulle tillämpas på jakt och fiske under nu nämnda förhållanden, liksom utskottet också tagit afstånd från att den skulle tillämpas på förnuftig vivisektion.</w:t>
        <w:br/>
        <w:br/>
        <w:t xml:space="preserve">Lagen bar ju äfven en högre uppgift i samhället än att vara en samling straffparagrafer. Den skall också vara det högsta uttrycket för folkets rättsmedvetande, vara folkets samvete. Det skulle kränka ett kristet folks rättsmedvetande, om detta lagförslag, som väckts gång på gång, skulle afvisas af denna kammare, som är kallad att gå före i humanitet. Det synes, som om, då Skaparen gifvit människan det höga förtroendet att ställa en hel djurvärld under </w:t>
      </w:r>
      <w:r>
        <w:rPr>
          <w:b/>
        </w:rPr>
        <w:t>hennes²</w:t>
      </w:r>
      <w:r>
        <w:rPr>
          <w:b w:val="0"/>
        </w:rPr>
        <w:t xml:space="preserve"> omvårdnad ock för att </w:t>
      </w:r>
      <w:r>
        <w:rPr>
          <w:b/>
        </w:rPr>
        <w:t>hon²</w:t>
      </w:r>
      <w:r>
        <w:rPr>
          <w:b w:val="0"/>
        </w:rPr>
        <w:t xml:space="preserve"> skall bruka den till nytta för sig, människan icke hade rätt att undantaga något slag af djur från hvad lagen kallar uppenbar grymhet. Det kränker alltid enligt min mening rättsmedvetandet, så länge det står på detta sätt, att uppenbar grymhet är straffvärd, när det gäller »egna eller andras kreatur», men icke när det gäller andra djur. Just för att lagen vill vara också ett uttryck af ett kristet folks rättsmedvetande, som kräfver skydd för alla djur från hvad lagen kallar &gt;uppenbar grymhet» — just därför, herr grefve och talman, ber jag att få yrka bifall till lagutskottets förslag.</w:t>
        <w:br/>
        <w:br/>
        <w:t>Att ledamoten af Riksdagens Första Kammare vice häradshöfding Knut Tillberg, som å mitt institut härstädes nu undergår behandling för svag hjärtmuskel och något hjärtdilatation, förbunden med hjärtkramp samt svag och oregelbunden cirkulation, är i behof af ledighet från riksdagsarbetet under minst en månad för sin hälsas vårdande, intygas härmed.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