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1050</w:t>
      </w:r>
    </w:p>
    <w:p>
      <w:r>
        <w:rPr>
          <w:b/>
        </w:rPr>
        <w:t xml:space="preserve">Datum: </w:t>
      </w:r>
      <w:r>
        <w:t>1907-05-22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Emil Hammarlund (–, man)</w:t>
      </w:r>
    </w:p>
    <w:p>
      <w:r>
        <w:rPr>
          <w:b w:val="0"/>
        </w:rPr>
        <w:t>Den senaste talaren sade, då han första gången hade ordet, att detta är en viktig principfråga. Ja, skall man draga ut konsekvensen därhän, att hvarje i privat tjänst anställd person skulle vid öfvergång till statens tjänst vara berättigad till att räkna tjänstår för sin föregående anställning i enskild tjänst, då kunde talaren hafva rätt. Men här är ju icke fråga om detta. Här är ju icke fråga om att t. ex. en ingenjör, som varit anställd vid en enskild persons verkstad, skulle vid öfvergång till statens järnvägar vara berättigad att räkna de tjänstår, han haft vid den enskilda verkstaden. Detta kan icke komma i fråga. Här begränsas frågan helt enkelt till detta: År det skäl att gifva de lärare, som äro anställda vid de privata läroverken, denna rätt vid öfvergång till statens läroanstalter? Dessa enskilda läroanstalter äro förut understödda af staten. Då blir frågan blott den: Anse vi dessa läroanstalter vara af den betydelse, att vi ytterligare vilja understödja dem äfven på detta sätt? Därtill reducerar sig frågan, så vidt jag kan förstå. a</w:t>
        <w:br/>
        <w:br/>
        <w:t>Frågan blir således: Är det för staten gagneligt, att vi gifva dem denna rättighet, och hafva de däraf gjort sig förtjänta? Enligt</w:t>
        <w:br/>
        <w:br/>
        <w:t>mitt förmenande måste dessa frågor besvaras med ja. Vi hafva förut gifvit dem statsunderstöd; vi understödja dem därjämte äfven på nu föreslaget sätt.</w:t>
        <w:br/>
        <w:br/>
        <w:t>Ser jag frågan särskildt ur de privata läroverkens synpunkt, måste jag komma till det resultat, att det är rent af en nödvändighet för dessa privata läroanstalter att få denna rättighet. Ty huru skola de eljest få lärare, som äro skickliga? Staten har förut understödt dessa läroanstalter med penningmedel, och detta därför, att man vill, att de skola blifva försöksläroverk. Då är det väl också ett statsintresse, att det finnes skickliga och dugliga lärare där. Men om lärarne icke få räkna tjänstår vid dessa läroanstalter, då finnes ingen utsikt för dessa anstalter att få andra lärare än sådana, som icke kunna vinna anställning vid statens skolor. Men huru kommer det då att gå med dessa skolors uppgift att vara försöksläroverk? Jag tror, att det blir ganska dåliga försöksläroverk, om de icke kunna påräkna att få annat än de sämsta lärarekrafterna.</w:t>
        <w:br/>
        <w:br/>
        <w:t>Om jag sedan ser frågan ur statens synpunkt, tycker jag äfven då, att det är alla skäl att bifalla Kungl. Maj:ts förslag. Dessa skolor arbeta under friare former än statens läroverk. Att en lärare öfvergår från de privata skolorna till statens läroverk, tror jag i vissa fall kan vara ganska nyttigt. Ty de komma med idéer från de privata läroanstalterna och kunna öfverföra dessa på statens läroanstalter. Ifall man vill en utveckling på det pedagogiska området, tror jag, att det är stora skäl att bifalla den nu föreliggande propositionen, och jag ber att få yrka bifall till densamma.</w:t>
        <w:br/>
        <w:br/>
        <w:t xml:space="preserve">att, där efter afliden delägare lefde endast två barn, de skulle äga till lika fördelning sig emellan uppbära samma pension som </w:t>
      </w:r>
      <w:r>
        <w:rPr>
          <w:b/>
        </w:rPr>
        <w:t>änka²</w:t>
      </w:r>
      <w:r>
        <w:rPr>
          <w:b w:val="0"/>
        </w:rPr>
        <w:t xml:space="preserve"> utan barn.</w:t>
        <w:br/>
        <w:br/>
        <w:t xml:space="preserve">nes </w:t>
      </w:r>
      <w:r>
        <w:rPr>
          <w:b/>
        </w:rPr>
        <w:t>änkeoch²</w:t>
      </w:r>
      <w:r>
        <w:rPr>
          <w:b w:val="0"/>
        </w:rPr>
        <w:t xml:space="preserve"> Efter det utskottets hemställan blifvit uppläst lämnades på ae begäran ordet till orts.)</w:t>
      </w:r>
    </w:p>
    <w:p>
      <w:pPr>
        <w:pStyle w:val="Heading2"/>
      </w:pPr>
      <w:r>
        <w:t>2. Emil Hammarlund (–, man)</w:t>
      </w:r>
    </w:p>
    <w:p>
      <w:r>
        <w:rPr>
          <w:b w:val="0"/>
        </w:rPr>
        <w:t xml:space="preserve">Afven här har utskottet gjort en afprutning på Kungl. Maj:ts förslag. Kungl. Maj:t har på grund af framställning från revisorerna i folkskollärarnes </w:t>
      </w:r>
      <w:r>
        <w:rPr>
          <w:b/>
        </w:rPr>
        <w:t>änkeoch²</w:t>
      </w:r>
      <w:r>
        <w:rPr>
          <w:b w:val="0"/>
        </w:rPr>
        <w:t xml:space="preserve"> pupillkassa samt från kassans direktion hemställt, att pensionerna må från och med år 1908 höjas från 20 till 25 procent af delaktighetsbeloppet. Detta har utskottet varit med om. Men därjämte har Kungl. Maj:t föreslagit, att ifrågavarande ändrade bestämmelser måtte, likaledes från och med år 1908, äga tillämpning äfven på pensioner, som dessförinnan blifvit till utgående från </w:t>
      </w:r>
      <w:r>
        <w:rPr>
          <w:b/>
        </w:rPr>
        <w:t>änkeoch²</w:t>
      </w:r>
      <w:r>
        <w:rPr>
          <w:b w:val="0"/>
        </w:rPr>
        <w:t xml:space="preserve"> pupillkassan bestämda. Detta har utskottet däremot icke velat vara med om.</w:t>
        <w:br/>
        <w:br/>
        <w:t xml:space="preserve">Utskottet säger härom helt kort, att det är af principiella skäl, som utskottet funnit de föreslagna bestämmelserna icke böra äga tillämpning å pensioner, hvilka före år 1908 blifvit till utgående från </w:t>
      </w:r>
      <w:r>
        <w:rPr>
          <w:b/>
        </w:rPr>
        <w:t>änkeoch²</w:t>
      </w:r>
      <w:r>
        <w:rPr>
          <w:b w:val="0"/>
        </w:rPr>
        <w:t xml:space="preserve"> pupillkassan bestämda. Således, det är principiella skäl, som göra, att dessa gamla änkor, som fått sina pensioner bestämda för längre tid tillbaka, icke skola kunna få någon förhöjning af beloppen. Men det är att märka, att det här gäller en kassa, som befinner sig i en ganska god, för att icke säga lysande ställning. Den har råd att göra det tillägg till </w:t>
      </w:r>
      <w:r>
        <w:rPr>
          <w:b/>
        </w:rPr>
        <w:t>änkepensionerna²</w:t>
      </w:r>
      <w:r>
        <w:rPr>
          <w:b w:val="0"/>
        </w:rPr>
        <w:t>, som här är ifrågasatt. Det är nämligen. såsom kassans revisorer hafva påpekat, så, att vid kassans inrättande, i följd af bristande kunskap om dödlighetsförhållandena inom folkskollärarkåren och om flera andra betydelsefulla omständigheter, proportionen mellan pensionerna och årsafgifterna icke blef på ett rationellt sätt bestämd, utan dessa senare sattes högre än som varit af omständigheterna påkalladt. Det är således delägarne, d. v. s. folkskollärare, hvilka fått betala in till kassan betydligt mera än de rätteligen bort göra. Till följd däraf har uppstått ett öfverskott på flera millioner kronor. Hvad är då mera i sin ordning, än att ett litet grand af detta öfverskott tillkommer de gamla änkorna?</w:t>
        <w:br/>
        <w:br/>
        <w:t xml:space="preserve">Direktionen för folkskollärarnes </w:t>
      </w:r>
      <w:r>
        <w:rPr>
          <w:b/>
        </w:rPr>
        <w:t>änkeoch²</w:t>
      </w:r>
      <w:r>
        <w:rPr>
          <w:b w:val="0"/>
        </w:rPr>
        <w:t xml:space="preserve"> pupillkassa har också varit med om en sådan anordning samt anfört, att direktionen ansåge, att, när ekonomiska hinder icke vore i vägen, äfven denna fråga borde företrädesvis ses från synpunkten af deras behof, som frågan gällde, och gjorde man det, syntes det icke kunna förnekas, att skälen för höjning af redan utgående pensioner vore lika, om ej mera vägande, än de som anfördes för höjning af härefter tillkommande pensioner. Olägenheten af de alltjämt stegrade lefnadskostnaderna finge i sin mån alla vidkännas, och finge i följd häraf den utkomstmöjlighet, som en pension beredde, ett undan för undan minskadt penningvärde. Men ju mera till åren pensionärerna vore — direktionen syftade här enbart på folkskolläraränkorna — desto</w:t>
        <w:br/>
        <w:br/>
        <w:t>hjälplösare vore de i allmänhet äfven och tyngdes desto mera af svårigheterna för den dagliga utkomsten; och ju tidigare en pension börjat att utgå, efter desto lägre delaktighetsbelopp hade --- inom vissa tidsperioder räknadt — densamma fastställts. Behofvet af ökning gjorde sig således mest kännbart i afseende å de tidigast fastställda pensionerna, men framträdde nog tillräckligt starkt äfven i afseende å pensioner, fastställda efter delaktighetsgrunder, som tillämpats exempelvis närmast före nu gällande.</w:t>
        <w:br/>
        <w:br/>
        <w:t>Trots detta skulle nu dessa äldre änkor icke få någon som helst förbättring i sin ställning. En liten ökning af deras pensioner är dock mycket väl berättigad, när man ser efter, huru små dessa pensioner för närvarande äro. Det finnes änkor, som icke hafva större pension än 120 kronor eller, om de hafva barn, 180 kronor. Dessa pensioner af 120 och 180 kronor skulle, om Kungl. Maj:ts förslag bifölles, komma att ökas till respektive 150 och 225 kronor. De pensioner, som äro bestämda efter ett delaktighetsbelopp af 700 kronor samt utgöra 140 och 210 kronor, skulle ökas till respektive 175 och 263 kronor. Såsom herrarne höra, är det fråga om en ofantligt liten förbättring och om mycket små belopp, och jag vågar verkligen vädja till kammaren, huruvida det icke finnes skäl att här gå in på Kungl. Maj:ts proposition.</w:t>
        <w:br/>
        <w:br/>
        <w:t>De skäl, som föranledt Kungl. Maj:t att föreslå en förbättring för de gamla folkskolläraränkorna, hafva varit af den art, att de till och med bevekt Första Kammaren, som för en stund sedan bifallit Kungl. Maj:ts proposition i dess helhet. Det var en talare här, som nyss manade oss att följa Första Kammaren i spåren. Jag skall nu gifva samma lystringsord och be denna kammare att i den nu föreliggande frågan följa Första Kammaren i spåren.</w:t>
        <w:br/>
        <w:br/>
        <w:t>Jag hemställer om rent bifall till Kungl. Maj:ts förslag.</w:t>
      </w:r>
    </w:p>
    <w:p>
      <w:pPr>
        <w:pStyle w:val="Heading2"/>
      </w:pPr>
      <w:r>
        <w:t>3. Hugo Hammarskjöld (Första kammarens moderata parti, man)</w:t>
      </w:r>
    </w:p>
    <w:p>
      <w:r>
        <w:rPr>
          <w:b w:val="0"/>
        </w:rPr>
        <w:t>Herr talman, mina herrar! Den fråga, som nu föreligger, är af alla pensionsfrågor, hvilka i dag förekommit, den, som ligger mig mest om hjärtat, ty jag tycker, att omständigheterna här verkligen äro så ömmande, att jag skulle finna det ytterst beklagligt, om kammaren icke skulle följa Kungl. Maj:ts förslag.</w:t>
        <w:br/>
        <w:br/>
        <w:t>Jag ber att få erinra kammaren därom, att denna fråga genom enskild motion kommit upp så tidigt som 1893. Då föranledde den visserligen ingen åtgärd, men sedermera har den kommit igen och slutligen blifvit underkastad utredning, som dragit ut på tiden allt längre och längre, så att frågan först till denna Riksdag har kunnat framläggas. Under alla dessa 14 år, som förflutit sedan år 1893, hafva skolläraränkorna gått och väntat och hoppats, att Riksdagen skulle afgöra frågan och de därigenom få sitt magra bröd litet förbättradt. Under tiden har man gjort undersökningar och genom matematiska beräkningar till slut fått alldeles klart för sig, att kassans tillgångar verkligen äro så stora, att en förhöjning kan ske, utan att man på något sätt riskerar kassans framtid och utan att statens bidrag behöfver höjas med ett enda öre.</w:t>
        <w:br/>
        <w:br/>
        <w:t>Angående Nu kommer Kungl. Maj:t slutligen med ett förslag, att pen-</w:t>
        <w:br/>
        <w:br/>
        <w:t>helosan da sionerna skola höjas från 20 till 25 procent af mannens delaktighets-</w:t>
        <w:br/>
        <w:br/>
        <w:t>folkskollärarbelopp. Men då säger statsutskottet, att man visserligen kan gå</w:t>
        <w:br/>
        <w:br/>
        <w:t xml:space="preserve">nes </w:t>
      </w:r>
      <w:r>
        <w:rPr>
          <w:b/>
        </w:rPr>
        <w:t>änkeoch²</w:t>
      </w:r>
      <w:r>
        <w:rPr>
          <w:b w:val="0"/>
        </w:rPr>
        <w:t xml:space="preserve"> Med härpå, men att förhöjningen icke kan få tillämpas å pensioner,</w:t>
        <w:br/>
        <w:br/>
        <w:t>pupillkassa. som blifvit bestämda före år 1908. Huru detta skall kännas för de</w:t>
        <w:br/>
        <w:br/>
        <w:t>Forts.) — gamla skolläraränkorna och hvilka besynnerliga förhållanden därigenom skulle inträffa, kunna herrarne väl föreställa sig.</w:t>
        <w:br/>
        <w:br/>
        <w:t xml:space="preserve">Jag behöfver knappt tala om dem, som sitta med pensioner, beräknade efter ett delaktighetsbelopp af endast 600 kronor. Denna beräkningsgrund upphörde att tillämpas för åtskilliga år sedan. En sådan </w:t>
      </w:r>
      <w:r>
        <w:rPr>
          <w:b/>
        </w:rPr>
        <w:t>änka²</w:t>
      </w:r>
      <w:r>
        <w:rPr>
          <w:b w:val="0"/>
        </w:rPr>
        <w:t xml:space="preserve"> har ju endast 120 kronor i pension och skulle genom bifall till Kungl. Maj:ts förslag få den förhöjd till 150 kronor. 30 kronor betyda kanske icke mycket för oss, men de betyda icke så litet för en skolläraränka, som måhända icke har något annat att lefva af än den lilla pensionen.</w:t>
        <w:br/>
        <w:br/>
        <w:t>Vidare skola vi tänka på att dessa minsta pensioner uppbäras just af de allra äldsta och mest behöfvande, som hafva minsta förmågan att själfva bidraga till sitt underhåll.</w:t>
        <w:br/>
        <w:br/>
        <w:t xml:space="preserve">Men om jag går längre fram i tiden och tager de 3 åren 1906, 1907 och 1908, så finner jag, att den, som blifvit </w:t>
      </w:r>
      <w:r>
        <w:rPr>
          <w:b/>
        </w:rPr>
        <w:t>änka²</w:t>
      </w:r>
      <w:r>
        <w:rPr>
          <w:b w:val="0"/>
        </w:rPr>
        <w:t xml:space="preserve"> under år 1906, nu får i pension 1'; af 1,000 kronor, d. v. s. 200 kronor, men att </w:t>
      </w:r>
      <w:r>
        <w:rPr>
          <w:b/>
        </w:rPr>
        <w:t>hon²</w:t>
      </w:r>
      <w:r>
        <w:rPr>
          <w:b w:val="0"/>
        </w:rPr>
        <w:t xml:space="preserve">, om Kungl. Maj:ts förslag bifölles, skulle erhålla 250 kronor. Den, som blifvit </w:t>
      </w:r>
      <w:r>
        <w:rPr>
          <w:b/>
        </w:rPr>
        <w:t>änka²</w:t>
      </w:r>
      <w:r>
        <w:rPr>
          <w:b w:val="0"/>
        </w:rPr>
        <w:t xml:space="preserve">, i år, får nu !/; af 1,350 kronor, d. v. s. 270 kronor, men skulle genom bifall till Kungl. Maj:ts förslag få 337 kronor 50 öre. Den åter som blir </w:t>
      </w:r>
      <w:r>
        <w:rPr>
          <w:b/>
        </w:rPr>
        <w:t>änka²</w:t>
      </w:r>
      <w:r>
        <w:rPr>
          <w:b w:val="0"/>
        </w:rPr>
        <w:t xml:space="preserve"> efter den 1 januari nästa år, får utan vidare det högsta beloppet, 337 kronor 50 öre. Tänka vi oss nu en person, som blifvit </w:t>
      </w:r>
      <w:r>
        <w:rPr>
          <w:b/>
        </w:rPr>
        <w:t>änka²</w:t>
      </w:r>
      <w:r>
        <w:rPr>
          <w:b w:val="0"/>
        </w:rPr>
        <w:t xml:space="preserve"> under förlidet år, och jämföra </w:t>
      </w:r>
      <w:r>
        <w:rPr>
          <w:b/>
        </w:rPr>
        <w:t>hennes²</w:t>
      </w:r>
      <w:r>
        <w:rPr>
          <w:b w:val="0"/>
        </w:rPr>
        <w:t xml:space="preserve"> pension med den pension, som tillkommer en person, hvilken blir </w:t>
      </w:r>
      <w:r>
        <w:rPr>
          <w:b/>
        </w:rPr>
        <w:t>änka²</w:t>
      </w:r>
      <w:r>
        <w:rPr>
          <w:b w:val="0"/>
        </w:rPr>
        <w:t xml:space="preserve"> först under nästa år, så finna vi, att, om utskottets förslag bifalles, skillnaden blir icke mindre än 137 kronor 50 öre. Den förra får 200 kronor och den senare 337 kronor 50 öre. Jag talar nu icke om barnens pension för att icke inveckla frågan, utan afser endast änkor utan barn.</w:t>
        <w:br/>
        <w:br/>
        <w:t>Det torde väl icke vara någon, som vill påstå, att en förhöjning från 200 kronor till 250 kronor är en oskälig förhöjning eller att därigenom gifves något särdeles rikt lefvebröd. Det får väl allt betraktas såsom stående under existensminimum. Jag tycker verkligen, att ensamt detta är ett tillräckligt kraftigt skäl för bifall.</w:t>
        <w:br/>
        <w:br/>
        <w:t>Af den förste talaren har framhållits — och jag vill påpeka det ännu en gång — att den omständigheten, att kassan befinner sig i en så god ställning, beror visserligen till mycket stor del på de frikostiga bidrag, som staten har lämnat under många år, men också därpå, att skollärarne under de gångna åren hafva betalat högre pensionsafgifter än de skulle behöft erlägga, om man kunnat fullt säkert beräkna behofvet. Nu visar det sig, att afgifterna blifvit satta så höga, att ett ganska betydligt kapitalöfverskott uppkommit. Nog skulle det väl då vara hårdt för änkorna efter dessa män, som hafva bidragit till att göra kassan stor och rik, om de skulle nödgas se dem, som blifva änkor från och med nästa år, sitta med väsentligt höjda pensioner, men själfva få nöja sig med obetydliga sådana.</w:t>
        <w:br/>
        <w:br/>
        <w:t>Här har framhållits af utskottet, att det är af principiella skäl, som utskottet icke kunnat biträda Kungl. Maj:ts förslag. Ja, jag skall vara den förste att erkänna, att man så mycket som möjligt</w:t>
        <w:br/>
        <w:br/>
        <w:t xml:space="preserve">bör hålla på principerna. Men när principerna komma i strid med nes </w:t>
      </w:r>
      <w:r>
        <w:rPr>
          <w:b/>
        </w:rPr>
        <w:t>änkeoch²</w:t>
      </w:r>
      <w:r>
        <w:rPr>
          <w:b w:val="0"/>
        </w:rPr>
        <w:br/>
        <w:br/>
        <w:t xml:space="preserve">människokärleken, med humanitetens fordringar och med barmhärtigheten, då säger jag, att principerna få </w:t>
      </w:r>
      <w:r>
        <w:rPr>
          <w:b/>
        </w:rPr>
        <w:t>maka³</w:t>
      </w:r>
      <w:r>
        <w:rPr>
          <w:b w:val="0"/>
        </w:rPr>
        <w:t xml:space="preserve"> åt sig. Man må säga hvad man vill, men kärlekslagen är ändock den första, den går före allt annat.</w:t>
        <w:br/>
        <w:br/>
        <w:t>Mina herrar! Jag är öfvertygad om att kammaren gärna skall biträda det beslut, som Första Kammaren redan har fattat.</w:t>
      </w:r>
    </w:p>
    <w:p>
      <w:pPr>
        <w:pStyle w:val="Heading2"/>
      </w:pPr>
      <w:r>
        <w:t>4. Robert Johansson Dahr (Liberala samlingspartiet, man)</w:t>
      </w:r>
    </w:p>
    <w:p>
      <w:r>
        <w:rPr>
          <w:b w:val="0"/>
        </w:rPr>
        <w:t>Efter de belysande och varmhjärtade anföranden, som redan hållits till förmån för Kungl. Maj:ts framställning i denna punkt, vill jag endast med instämmande i dessa anföranden rikta en varm bön till Andra Kammaren att behjärta de ifrågavarande änkornas ställning. Jag känner från de kretsar, där jag verkar, icke mindre än 2 sådana änkor, hvardera med 2 barn, hvilka hafva mycket svårt att draga sig fram på den ringa pension, som hittills varit dem tilldelad. Och det finnes ju ock starka billighetsskäl för bifall till den gjorda framställningen i det afseendet att — såsom vi af båda de föregående talarne hafva hört — de afgifter, som erlagts af de lärare, om hvilkas änkor och barn det är fråga, hafva varit högre, än som erfordrats för de pensionsbelopp, som hittills tilldelats dessa änkor och barn.</w:t>
        <w:br/>
        <w:br/>
        <w:t xml:space="preserve">Det ligger också något obilligt i det förhållande, att, om en folkskollärare t. ex. afled förra året och efterlämnade </w:t>
      </w:r>
      <w:r>
        <w:rPr>
          <w:b/>
        </w:rPr>
        <w:t>änka²</w:t>
      </w:r>
      <w:r>
        <w:rPr>
          <w:b w:val="0"/>
        </w:rPr>
        <w:t xml:space="preserve">, denna just därför, att mannen dog år 1906, skulle få en pension af endast 200 kronor, men att, om han hade lefvat till i år — jag förutsätter alltjämt, att han åtnjutit lön efter lag — hans </w:t>
      </w:r>
      <w:r>
        <w:rPr>
          <w:b/>
        </w:rPr>
        <w:t>änka²</w:t>
      </w:r>
      <w:r>
        <w:rPr>
          <w:b w:val="0"/>
        </w:rPr>
        <w:t xml:space="preserve"> skulle kommit i åtnjutande af en pension af 270 kronor och slutligen — om han lefvat till 1908 — skulle få en pension af 338 kronor.</w:t>
        <w:br/>
        <w:br/>
        <w:t>Nu skulle ett bifall till Kungl. Maj:ts framställning för en hvar af de två änkor, som jag särskildt känner till, medföra en förbättring i deras pensionsförhållanden af 75 kronor. Detta är ju ett ganska blygsamt belopp, som man icke bör draga sig för att bevilja. Men det är naturligtvis af ganska stor betydelse för dessa änkor i deras torftiga villkor.</w:t>
        <w:br/>
        <w:br/>
        <w:t>Jag ber, herr talman, att på det lifligaste få instämma i yrkandet på bifall till Kungl. Maj:ts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