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96</w:t>
      </w:r>
    </w:p>
    <w:p>
      <w:r>
        <w:rPr>
          <w:b/>
        </w:rPr>
        <w:t xml:space="preserve">Datum: </w:t>
      </w:r>
      <w:r>
        <w:t>1908-04-29</w:t>
      </w:r>
    </w:p>
    <w:p>
      <w:r>
        <w:rPr>
          <w:b/>
        </w:rPr>
        <w:t xml:space="preserve">Kammare: </w:t>
      </w:r>
      <w:r>
        <w:t>Första kammaren</w:t>
      </w:r>
    </w:p>
    <w:p>
      <w:r>
        <w:rPr>
          <w:b/>
        </w:rPr>
        <w:t xml:space="preserve">Antal yttranden: </w:t>
      </w:r>
      <w:r>
        <w:t>9</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Henrik Cavalli (Första kammarens protektionistiska parti, man)</w:t>
      </w:r>
    </w:p>
    <w:p>
      <w:r>
        <w:rPr>
          <w:b w:val="0"/>
        </w:rPr>
        <w:t>I afseende å föredragningen af bevillningsutskottets betänkande n:o 22 tillåter jag mig hemställa, att betänkandet måtte punktvis företagas till afgörande;</w:t>
        <w:br/>
        <w:br/>
        <w:t xml:space="preserve">Gift man taxeras för all ma- Ar skattskyldig gift, skall t än karnas inkomst, i den mån inhans taxering inbegripas jämväl m.m. komsten icke varit af </w:t>
      </w:r>
      <w:r>
        <w:rPr>
          <w:b/>
        </w:rPr>
        <w:t>beskaffenhustruns²</w:t>
      </w:r>
      <w:r>
        <w:rPr>
          <w:b w:val="0"/>
        </w:rPr>
        <w:t xml:space="preserve"> inkomst, dock under iakt- — (Forts.)</w:t>
        <w:br/>
        <w:br/>
        <w:t xml:space="preserve">taxeras </w:t>
      </w:r>
      <w:r>
        <w:rPr>
          <w:b/>
        </w:rPr>
        <w:t>hustrun²</w:t>
      </w:r>
      <w:r>
        <w:rPr>
          <w:b w:val="0"/>
        </w:rPr>
        <w:t xml:space="preserve">. komst särskudt taxeras, såvidt </w:t>
      </w:r>
      <w:r>
        <w:rPr>
          <w:b/>
        </w:rPr>
        <w:t>hon²</w:t>
      </w:r>
      <w:r>
        <w:rPr>
          <w:b w:val="0"/>
        </w:rPr>
        <w:t xml:space="preserve"> före den 1 mars därom gör framställning hos vederbörande taxeringsnämnd. Genom aflämnande af sådan uppgift till ledning för egen taxering, som i förordningen om inkomstskatt omförmåles, skall framställning 1 dylikt afseende anses hafva blifvit gjord, såvidt angår beskattningsbar inkomst, å den ort, där uppgift enligt inkomstskatteförordningen — aflämnats.</w:t>
      </w:r>
    </w:p>
    <w:p>
      <w:pPr>
        <w:pStyle w:val="Heading2"/>
      </w:pPr>
      <w:r>
        <w:t>2. Carl Swartz (Första kammarens nationella parti, man)</w:t>
      </w:r>
    </w:p>
    <w:p>
      <w:r>
        <w:rPr>
          <w:b w:val="0"/>
        </w:rPr>
        <w:t xml:space="preserve">I den föredragna paragrafen är förslag framställdt angående gift </w:t>
      </w:r>
      <w:r>
        <w:rPr>
          <w:b/>
        </w:rPr>
        <w:t>kvinnas¹</w:t>
      </w:r>
      <w:r>
        <w:rPr>
          <w:b w:val="0"/>
        </w:rPr>
        <w:t xml:space="preserve"> taxering för inkomst af sådan beskaffenhet, att </w:t>
      </w:r>
      <w:r>
        <w:rPr>
          <w:b/>
        </w:rPr>
        <w:t>hon²</w:t>
      </w:r>
      <w:r>
        <w:rPr>
          <w:b w:val="0"/>
        </w:rPr>
        <w:t xml:space="preserve"> enligt lag äger att ensam öfver densamma råda. Det af Kungl. Maj:t framlagda förslaget är föranledt delvis af en skrifvelse från Rikedagen år 1904, däri Riksdagen begär, att Kungl. Maj:t täcktes för Riksdagen framlägga förslag till sådana bestämmelser, att gift </w:t>
      </w:r>
      <w:r>
        <w:rPr>
          <w:b/>
        </w:rPr>
        <w:t>kvinna¹</w:t>
      </w:r>
      <w:r>
        <w:rPr>
          <w:b w:val="0"/>
        </w:rPr>
        <w:t xml:space="preserve"> med egendom, däröfver </w:t>
      </w:r>
      <w:r>
        <w:rPr>
          <w:b/>
        </w:rPr>
        <w:t>hon²</w:t>
      </w:r>
      <w:r>
        <w:rPr>
          <w:b w:val="0"/>
        </w:rPr>
        <w:t xml:space="preserve"> enligt lag ägde att ensam råda, blefve med särskild debetsedel för sig beskattad. Därtill har Riksdagen under nästlidet år beslutit, att </w:t>
      </w:r>
      <w:r>
        <w:rPr>
          <w:b/>
        </w:rPr>
        <w:t>kvinna¹</w:t>
      </w:r>
      <w:r>
        <w:rPr>
          <w:b w:val="0"/>
        </w:rPr>
        <w:t xml:space="preserve">, äfven gift </w:t>
      </w:r>
      <w:r>
        <w:rPr>
          <w:b/>
        </w:rPr>
        <w:t>kvinna¹</w:t>
      </w:r>
      <w:r>
        <w:rPr>
          <w:b w:val="0"/>
        </w:rPr>
        <w:t xml:space="preserve">, som vore kommunalt röstberättigad, skulle vara valbar till vissa befattningar. För att emellertid en gift </w:t>
      </w:r>
      <w:r>
        <w:rPr>
          <w:b/>
        </w:rPr>
        <w:t>kvinna¹</w:t>
      </w:r>
      <w:r>
        <w:rPr>
          <w:b w:val="0"/>
        </w:rPr>
        <w:t xml:space="preserve"> skall kunna vara röstberättigad, måste </w:t>
      </w:r>
      <w:r>
        <w:rPr>
          <w:b/>
        </w:rPr>
        <w:t>hon²</w:t>
      </w:r>
      <w:r>
        <w:rPr>
          <w:b w:val="0"/>
        </w:rPr>
        <w:t xml:space="preserve"> vara för sig taxerad för inkomst, öfver hvilken </w:t>
      </w:r>
      <w:r>
        <w:rPr>
          <w:b/>
        </w:rPr>
        <w:t>hon²</w:t>
      </w:r>
      <w:r>
        <w:rPr>
          <w:b w:val="0"/>
        </w:rPr>
        <w:t xml:space="preserve"> äger att ensam råda. I annat fall kan ju ingen kommunal rösträtt för </w:t>
      </w:r>
      <w:r>
        <w:rPr>
          <w:b/>
        </w:rPr>
        <w:t>henne²</w:t>
      </w:r>
      <w:r>
        <w:rPr>
          <w:b w:val="0"/>
        </w:rPr>
        <w:t xml:space="preserve"> förekomma. På grund af dessa uttalanden, det ena en begäran, det andra ett beslut från Riksdagens sida, har Kungl. Maj:t framlagt ett förslag, som skulle vara ägnadt att uppfylla begäran och möjliggöra beslutet att skaffa de nödiga förutsättningarna för att det af Riksdagen i fjol fattade beslutet skulle kunna genomföras. I detta syfte har Kungl. Maj:t föreslagit, att gift </w:t>
      </w:r>
      <w:r>
        <w:rPr>
          <w:b/>
        </w:rPr>
        <w:t>kvinna¹</w:t>
      </w:r>
      <w:r>
        <w:rPr>
          <w:b w:val="0"/>
        </w:rPr>
        <w:t xml:space="preserve"> skulle för sådan inkomst, öfver hvilken </w:t>
      </w:r>
      <w:r>
        <w:rPr>
          <w:b/>
        </w:rPr>
        <w:t>hon²</w:t>
      </w:r>
      <w:r>
        <w:rPr>
          <w:b w:val="0"/>
        </w:rPr>
        <w:t xml:space="preserve"> enligt lag ägde att ensam råda, också alltid ensam beskattas och för sådan inkomst vara själf uppgiftsskyldig.</w:t>
        <w:br/>
        <w:br/>
        <w:t>Bevillningsutskottet har ju icke kunnat förneka det riktiga i</w:t>
        <w:br/>
        <w:br/>
        <w:t xml:space="preserve">huruvida </w:t>
      </w:r>
      <w:r>
        <w:rPr>
          <w:b/>
        </w:rPr>
        <w:t>hon²</w:t>
      </w:r>
      <w:r>
        <w:rPr>
          <w:b w:val="0"/>
        </w:rPr>
        <w:t xml:space="preserve"> ville komma i åtnjutande af de rättigheter, för hvilka beskattningen af </w:t>
      </w:r>
      <w:r>
        <w:rPr>
          <w:b/>
        </w:rPr>
        <w:t>hennes²</w:t>
      </w:r>
      <w:r>
        <w:rPr>
          <w:b w:val="0"/>
        </w:rPr>
        <w:t xml:space="preserve"> egen inkomst för sig är en förutsättning. Då ett sådant förslag från utskottets sida synes mig principvidrigt, har jag naturligtvis låtit mig angeläget vara att se till, huruvida de skäl, som från utskottets sida blifvit anförda för denna afvikelse från Kungl. Maj:ts förslag, skulle kunna vara af den tungt vägande beskaffenhet, att man kunde anse dem vara en giltig anledning till denna afvikelse från den enda rätta principen.</w:t>
        <w:br/>
        <w:br/>
        <w:t xml:space="preserve">Hvad är det då för skäl, som utskottet anfört? Jo, först har utskottet anfört ett statsfinansiellt skäl, då det har efter kammarrätten sagt, att på detta sätt, då gift </w:t>
      </w:r>
      <w:r>
        <w:rPr>
          <w:b/>
        </w:rPr>
        <w:t>kvinna¹</w:t>
      </w:r>
      <w:r>
        <w:rPr>
          <w:b w:val="0"/>
        </w:rPr>
        <w:t xml:space="preserve"> skulle vara skyldig att deklarera för sin egen inkomst, men deklarationsskyldighet icke inträder för någon förr än inkomsten uppgår till 1,000 kronor, en del inkomst skulle kunna gå förlorad för beskattning. Under det att med de bestämmelser, som för närvarande äro gällande, mannen skall deklarera äfven för </w:t>
      </w:r>
      <w:r>
        <w:rPr>
          <w:b/>
        </w:rPr>
        <w:t>hustruns²</w:t>
      </w:r>
      <w:r>
        <w:rPr>
          <w:b w:val="0"/>
        </w:rPr>
        <w:t xml:space="preserve"> inkomst och hans deklarationsskyldighet inträder vid ett sammanlagdt inkomstbelopp af 1,000 kronor, skulle enligt Kungl. Maj:ts förslag deklarationsskyldigheten i nu ifrågavarande fall åligga hvardera maken. för sig för hans eller </w:t>
      </w:r>
      <w:r>
        <w:rPr>
          <w:b/>
        </w:rPr>
        <w:t>hennes²</w:t>
      </w:r>
      <w:r>
        <w:rPr>
          <w:b w:val="0"/>
        </w:rPr>
        <w:t xml:space="preserve"> särskilda inkomst, i den mån denna uppginge till minst 1,000 kronor, och på grund häraf skulle man kunna befara en minskning i skatteinkomst. Det skälet har jag sökt att i propositionen bemöta. Jag kan ju inte annat än erkänna, att i vissa undantagsfall det kan blifva förhållandet, men jag har sökt visa, att det ej gärna kan blifva förhållandet, då fråga är om inkomst af arbete, därför att den inkomsten ofta är känd af sådana vederbörande, som äro skyldiga att i egenskap af arbetsgifvare uppgifva denna inkomst, och vidare att det ej heller gärna kan ske med afseende å inkomst af rörelse, därför att denna ej gärna lär kunna bedrifvas så, att den undandrager sig taxeringsmyndigheternas uppmärksamhet. Det skulle då möjligen kunna ske med afseende å inkomst af kapital, men det kan af helt naturliga skäl, då fråga är om så små inkomster, som här skulle vara fallet, ej få vidsträcktare betydelse i statsfinansiellt hänseende och i alla händelser icke någon sådan, som skulle kunna i och för sig vara något slags talande skäl för en afvikelse från Kungl. Maj:ts förslag.</w:t>
        <w:br/>
        <w:br/>
        <w:t xml:space="preserve">Större vikt måste däremot tillmätas det skälet, att det skulle vara förenadt med praktiska olägenheter att få särskilda taxeringar af gift </w:t>
      </w:r>
      <w:r>
        <w:rPr>
          <w:b/>
        </w:rPr>
        <w:t>kvinna¹</w:t>
      </w:r>
      <w:r>
        <w:rPr>
          <w:b w:val="0"/>
        </w:rPr>
        <w:t xml:space="preserve"> och </w:t>
      </w:r>
      <w:r>
        <w:rPr>
          <w:b/>
        </w:rPr>
        <w:t>hennes²</w:t>
      </w:r>
      <w:r>
        <w:rPr>
          <w:b w:val="0"/>
        </w:rPr>
        <w:t xml:space="preserve"> man. Jag har emellertid svårt att förstå, att dessa praktiska olägenheter skulle blifva af någon mera omfattande natur. Utskottet har talat om att det blir mera arbete för taxeringsmyndigheterna, och utskottet har särskildt framhållit, att det blir mera arbete för häradsskrifvarne och de andra tjänstemän,</w:t>
        <w:br/>
        <w:br/>
        <w:t xml:space="preserve">som skola verkställa fördelningen af skatten, hvilket jag erkänner Förslag om är det svåraste i det nu föreliggande förslaget. Enligt de före- 2 vida Rd slagna bestämmelserna skall icke hvardera kontrahentens inkomst bvillningaför för sig vara grundläggande för progressionen, utan den sammanordningen lagda inkomsten för båda kontrahenterna skall vara grundläg- = m.m. gande för progressionen i skatten, och att uträkna, huru mycket (Forts. af den på det sättet bestämda skatten skall falla på ena och andra kontrahenten fordrar ju en räkneoperation, som dock är skäligen enkel. Det är hvad som tillkommer i besvär utöfver hvad som förekommer vid hvilken individs skattläggning som helst. Jag har ej hört, att man låter en sådan fråga som denna röna inverkan af att det skulle blifva litet besvär för myndigheterna, som hafva att göra med saken, och allra minst att det skulle blifva besvär för en statstjänsteman. Det vill således synas, som om de gjorda invändningarna vore skäligen svaga, och de blifva efter min uppfattning ändå svagare, om man mot dessa utskottets skäl för den ändring, som utskottet har föreslagit, ställer upp de skäl, som ju tala för Kungl. Maj:ts förslag. Här är fråga om skattläggning af sådan inkomst, öfver hvilken </w:t>
      </w:r>
      <w:r>
        <w:rPr>
          <w:b/>
        </w:rPr>
        <w:t>hustrun²</w:t>
      </w:r>
      <w:r>
        <w:rPr>
          <w:b w:val="0"/>
        </w:rPr>
        <w:t xml:space="preserve"> äger att ensam råda, som </w:t>
      </w:r>
      <w:r>
        <w:rPr>
          <w:b/>
        </w:rPr>
        <w:t>hon²</w:t>
      </w:r>
      <w:r>
        <w:rPr>
          <w:b w:val="0"/>
        </w:rPr>
        <w:t xml:space="preserve"> ensam har intjänat eller som tillflyter </w:t>
      </w:r>
      <w:r>
        <w:rPr>
          <w:b/>
        </w:rPr>
        <w:t>henne²</w:t>
      </w:r>
      <w:r>
        <w:rPr>
          <w:b w:val="0"/>
        </w:rPr>
        <w:t xml:space="preserve"> i öfrigt direkt, utan att mannen med denna inkomst har något att skaffa. Mannen har icke rätt att disponera öfver denna. Det är ingenting, som hindrar, utan tvärtom allt, som tillåter </w:t>
      </w:r>
      <w:r>
        <w:rPr>
          <w:b/>
        </w:rPr>
        <w:t>hustrun²</w:t>
      </w:r>
      <w:r>
        <w:rPr>
          <w:b w:val="0"/>
        </w:rPr>
        <w:t xml:space="preserve"> att med afseende å sådan inkomst hålla mannen i full okunnighet om, hvad densamma belöper sig till. Icke desto mindre förklarar bevillningsutskottet, att mannen skall på heder och samvete deklarera för denna inkomst. Så går det till nu. Det är alldeles riktigt. Men att det nu går till på det sättet, kan ej, synes mig, vara någon anledning att fortsätta därmed, för så vidt man finner det vara en fullkomligt oriktig princip. Och för min del kan jag ej annat finna, än att den är alldeles oriktig. Det oriktiga och för mannen besvärande i bevillningsutskottets förslag framgår kanske ändå tydligare, om man besinnar, att bevillningsutskottet föreslagit, att mannen skall vara skyldig att deklarera för båda makarnes samfällda inkomst i alla de fall, där icke </w:t>
      </w:r>
      <w:r>
        <w:rPr>
          <w:b/>
        </w:rPr>
        <w:t>hustrun²</w:t>
      </w:r>
      <w:r>
        <w:rPr>
          <w:b w:val="0"/>
        </w:rPr>
        <w:t xml:space="preserve"> förklarat sig vilja taxeras direkt för sin egen inkomst och dessutom aflämnat deklaration. Detta skulle från </w:t>
      </w:r>
      <w:r>
        <w:rPr>
          <w:b/>
        </w:rPr>
        <w:t>hustruns²</w:t>
      </w:r>
      <w:r>
        <w:rPr>
          <w:b w:val="0"/>
        </w:rPr>
        <w:t xml:space="preserve"> sida hafva fullgjorts före den 1 mars enligt bevillningsutskottets förslag. Nå, evligt de allmänt gällande deklarationsbestämmelserna är mannen också skyldig att före den 1 mars aflämna deklaration. Låt oss nu tänka oss det, att mannen sin plikt likmätigt aflämnar en deklaration, som han ej precis väntar med till den sista februari, utan som han aflämnar i medio af februari, som folk väl merendels plägar göra. Han uppgifver samfällda beloppet af </w:t>
      </w:r>
      <w:r>
        <w:rPr>
          <w:b/>
        </w:rPr>
        <w:t>hustruns²</w:t>
      </w:r>
      <w:r>
        <w:rPr>
          <w:b w:val="0"/>
        </w:rPr>
        <w:t xml:space="preserve"> och sin egen inkomst. Han har ej i förordningen någon som helst</w:t>
        <w:br/>
        <w:br/>
        <w:t>Förslag om anledning att skilja mellan den enes och den andras inkomst. Han ändrad lydelse uppgifver den i ett sammanbang. Efter det mannen lämnat en</w:t>
        <w:br/>
        <w:br/>
        <w:t xml:space="preserve">deklaration, lämnar </w:t>
      </w:r>
      <w:r>
        <w:rPr>
          <w:b/>
        </w:rPr>
        <w:t>hustrun²</w:t>
      </w:r>
      <w:r>
        <w:rPr>
          <w:b w:val="0"/>
        </w:rPr>
        <w:t xml:space="preserve"> också en, öfver sin egen inkomst. Hvad blir den sannolika följden af det? Jo, med den kännedom jag har om huru sådana där ärenden sedermera blifva behandlade, tror jag mig kunna säga, att mannen taxeras för sin egen och </w:t>
      </w:r>
      <w:r>
        <w:rPr>
          <w:b/>
        </w:rPr>
        <w:t>hustruns²</w:t>
      </w:r>
      <w:r>
        <w:rPr>
          <w:b w:val="0"/>
        </w:rPr>
        <w:t xml:space="preserve"> inkomst i Ööfverensstämmelse med sin deklaration, och </w:t>
      </w:r>
      <w:r>
        <w:rPr>
          <w:b/>
        </w:rPr>
        <w:t>hustrun²</w:t>
      </w:r>
      <w:r>
        <w:rPr>
          <w:b w:val="0"/>
        </w:rPr>
        <w:t xml:space="preserve"> får skatta för sin inkomst i öfverensstämmelse med sin deklaration. Och skall det blifva ändring i detta, må-te man anlita besvärsvägen, och det är ej alltid så lätt att på det sättet gentemot en deklaration, som man själf afgifvit och underskrifvit, få någon ändring. Det blir under sådana förhållanden gifvetvis en dubbelbeskattning. Äfven på annat sätt kan skyldigheten för mannen att deklarera jämväl för </w:t>
      </w:r>
      <w:r>
        <w:rPr>
          <w:b/>
        </w:rPr>
        <w:t>hustruns²</w:t>
      </w:r>
      <w:r>
        <w:rPr>
          <w:b w:val="0"/>
        </w:rPr>
        <w:t xml:space="preserve"> inkomst medföra verklig olägenhet för mannen. Man skall komma i håg, att mannen är skyldig att deklarera ej blott för </w:t>
      </w:r>
      <w:r>
        <w:rPr>
          <w:b/>
        </w:rPr>
        <w:t>hustru²</w:t>
      </w:r>
      <w:r>
        <w:rPr>
          <w:b w:val="0"/>
        </w:rPr>
        <w:t xml:space="preserve">, med hvilken han sammanlefver, utan äfven för den, från hvilken han lefver skilld, utan att hafva fått laglig skilsmässa. I den diskussion rörande hithörande frågor, som 1904 fördesi Andra Kammaren, anfördes ett fall, där mannen hade uppgifvit sin inkomst till 2,160 kronor, men, när han fick sin debetsedel, fann, att den lydde på 3,200 kronors inkomst, därför att hans </w:t>
      </w:r>
      <w:r>
        <w:rPr>
          <w:b/>
        </w:rPr>
        <w:t>hustru²</w:t>
      </w:r>
      <w:r>
        <w:rPr>
          <w:b w:val="0"/>
        </w:rPr>
        <w:t xml:space="preserve">, som han ej på tio år haft reda på, i sin ort deklarerat den inkomst, som blifvit lagd till den af mannen uppgifna, efter meddelande från den ena taxeringsmyndigheten till den andra, då mannens vistelseort var känd. Hade nu mannen velat öfverklaga taxeringsåtgärden, hade han ej kunnat detta på grund af uraktlåtenheten att deklarera </w:t>
      </w:r>
      <w:r>
        <w:rPr>
          <w:b/>
        </w:rPr>
        <w:t>hustruns²</w:t>
      </w:r>
      <w:r>
        <w:rPr>
          <w:b w:val="0"/>
        </w:rPr>
        <w:t xml:space="preserve"> inkomst, om hvilken ban ej ägt ringaste kännedom. Men att bibehålla sådana bestämmelser, hvarigenom någon ålägges att på heder och samvete deklarera inkomst, om hvilken han ej har någon känne: dom eller med hvilken han icke har något alls att skaffa, är uppenbarligen orimligt.</w:t>
        <w:br/>
        <w:br/>
        <w:t xml:space="preserve">Detta är en mycket viktig anledning, hvarför man icke bör gå bevillningsutskottets väg, utan hvarför man bör fastslå, som Kungl. Maj:t gjort, skyldighet för båda kontrahenterna att förklara, hvad han eller </w:t>
      </w:r>
      <w:r>
        <w:rPr>
          <w:b/>
        </w:rPr>
        <w:t>hon²</w:t>
      </w:r>
      <w:r>
        <w:rPr>
          <w:b w:val="0"/>
        </w:rPr>
        <w:t xml:space="preserve"> har för inkomst. Men det finnes ännu ett annat skäl, som 'synes mig väga ganska tungt. </w:t>
      </w:r>
      <w:r>
        <w:rPr>
          <w:b/>
        </w:rPr>
        <w:t>Kvinnans¹</w:t>
      </w:r>
      <w:r>
        <w:rPr>
          <w:b w:val="0"/>
        </w:rPr>
        <w:t xml:space="preserve"> taxering för </w:t>
      </w:r>
      <w:r>
        <w:rPr>
          <w:b/>
        </w:rPr>
        <w:t>hennes²</w:t>
      </w:r>
      <w:r>
        <w:rPr>
          <w:b w:val="0"/>
        </w:rPr>
        <w:t xml:space="preserve"> särskilda inkomst är grundläggande för </w:t>
      </w:r>
      <w:r>
        <w:rPr>
          <w:b/>
        </w:rPr>
        <w:t>hennes²</w:t>
      </w:r>
      <w:r>
        <w:rPr>
          <w:b w:val="0"/>
        </w:rPr>
        <w:t xml:space="preserve"> kommunala rösträtt. Jag kan nu för min del icke finna annat, än att det är stridande mot en sund princip att vilja påstå, att en sådan rättighet som den kommunala rösträtten skall vara beroende på den ena och andra individens egen önskan att taga på sig eller icke taga på sig den. Det lär icke för någon man kunna komma i fråga att afskudda sig den kommunala rösträtten, om han för öfrigt är i besittning af de förutsättningar, på hvilka den kommunala rösträtten hvilar. Skall det då verkligen ställas på det sättet,</w:t>
        <w:br/>
        <w:br/>
        <w:t xml:space="preserve">att </w:t>
      </w:r>
      <w:r>
        <w:rPr>
          <w:b/>
        </w:rPr>
        <w:t>kvinnan¹</w:t>
      </w:r>
      <w:r>
        <w:rPr>
          <w:b w:val="0"/>
        </w:rPr>
        <w:t xml:space="preserve">, den gifta </w:t>
      </w:r>
      <w:r>
        <w:rPr>
          <w:b/>
        </w:rPr>
        <w:t>kvinnan¹</w:t>
      </w:r>
      <w:r>
        <w:rPr>
          <w:b w:val="0"/>
        </w:rPr>
        <w:t xml:space="preserve">, må afskudda sig denna rätt? Jag Förslag om säger: »afskudda sig», därför att jag kan omöjligen i den kommuaf ola åå a nala rösträtten lika litet som i den politiska rösträtten se uteslupsyillningsförtande en vanlig rättighet, utan jag ser i den en med det allra ordningen största ansvar förenad rättighet, och det är detta ansvar, som m.m. jag säger, att det är principvidrigt, att en medborgare får taga på (Forts) sig, om </w:t>
      </w:r>
      <w:r>
        <w:rPr>
          <w:b/>
        </w:rPr>
        <w:t>hon²</w:t>
      </w:r>
      <w:r>
        <w:rPr>
          <w:b w:val="0"/>
        </w:rPr>
        <w:t xml:space="preserve"> vill, men får låta bli, om </w:t>
      </w:r>
      <w:r>
        <w:rPr>
          <w:b/>
        </w:rPr>
        <w:t>hon²</w:t>
      </w:r>
      <w:r>
        <w:rPr>
          <w:b w:val="0"/>
        </w:rPr>
        <w:t xml:space="preserve"> icke vill hatva det. Alla andra äro skyldiga att taga det.</w:t>
        <w:br/>
        <w:br/>
        <w:t>Det är af denna anledning liksom af dessa andra praktiska och principiella anledningar, som jag för min del omöjligen har kunnat stillatigande nöja mig med det utslag, som från bevillningsutskottets sida här är lämnadt. Och det är därför, som jag också anser mig skyldig att, oaktadt inom bevillningsutskottet ingen enda röst synes hafva höjt sig för Kungl. Maj:ts proposition, göra en enträgen anhållan hos kammaren om afslag å utskottets hemställan och bifall till Kungl. Maj:ts förslag i denna del.</w:t>
      </w:r>
    </w:p>
    <w:p>
      <w:pPr>
        <w:pStyle w:val="Heading2"/>
      </w:pPr>
      <w:r>
        <w:t>3. Fredrik Wester (–, man)</w:t>
      </w:r>
    </w:p>
    <w:p>
      <w:r>
        <w:rPr>
          <w:b w:val="0"/>
        </w:rPr>
        <w:t xml:space="preserve">Då herr Staaff år 1904 väckte motion om att gift </w:t>
      </w:r>
      <w:r>
        <w:rPr>
          <w:b/>
        </w:rPr>
        <w:t>kvinna¹</w:t>
      </w:r>
      <w:r>
        <w:rPr>
          <w:b w:val="0"/>
        </w:rPr>
        <w:t xml:space="preserve">, som har egendom, som </w:t>
      </w:r>
      <w:r>
        <w:rPr>
          <w:b/>
        </w:rPr>
        <w:t>hon²</w:t>
      </w:r>
      <w:r>
        <w:rPr>
          <w:b w:val="0"/>
        </w:rPr>
        <w:t xml:space="preserve"> enligt lag äger att ensam råda öfver, skulle kommunalt beskattas och få sin egen debetsedel, och då bevillningsutskottet med anledning af denna motion föreslog en skrifvelse till Kungl. Maj:t med hemställan om utredning och förslag i ämnet, samt då Riksdagen antog denna skrifvelse, skedde detta icke utan reservation. Nu föreligger Kungl. Maj:ts proposition med anledning af denna skrifvelse, och Kungl. Maj:t bar ju noggrant följt den skrifvelsens innehåll, men man kan likväl vara tveksam om, huruvida det i en fråga som denna kan vara lämpligt att ålägga gift </w:t>
      </w:r>
      <w:r>
        <w:rPr>
          <w:b/>
        </w:rPr>
        <w:t>kvinna¹</w:t>
      </w:r>
      <w:r>
        <w:rPr>
          <w:b w:val="0"/>
        </w:rPr>
        <w:t xml:space="preserve">, som äger egendom, obligatorisk skyldighet att i hvarje fall deklarera sin inkomst. Herr statsrådet och chefen för finansdepartementet framhöll nyss, att det ej skulle blifva så synnerligt stort besvär för taxeringsmyndigheterna, och att man icke behöfde taga hänsyn till detta. Det blir dock i många fall dubbelt arbete för taxeringsmyndigheterna, och dessa hafva redan förut så mycket arbete vid tillämpningen af den nya förordningen, att det icke onödigtvis bör ökas. Om man nu vunne något väsentligt genom att antaga denna kungl. proposition, om man vunne hvad man åsyftar, finge man naturligtvis icke fästa afseende vid det större eller mindre arbetet, men målet vinnes icke. Herr statsrådet och chefen för finansdepartementet yttrade vidare, att denna förordning vore tillkommen för att bereda gift </w:t>
      </w:r>
      <w:r>
        <w:rPr>
          <w:b/>
        </w:rPr>
        <w:t>kvinna¹</w:t>
      </w:r>
      <w:r>
        <w:rPr>
          <w:b w:val="0"/>
        </w:rPr>
        <w:t xml:space="preserve"> kommunal rösträtt, men hur är det i detta fall? Det är endast några få </w:t>
      </w:r>
      <w:r>
        <w:rPr>
          <w:b/>
        </w:rPr>
        <w:t>kvinnor¹</w:t>
      </w:r>
      <w:r>
        <w:rPr>
          <w:b w:val="0"/>
        </w:rPr>
        <w:t>, som hafva egendom af den beskaffenhet, som här är förutsatt, och som således få kommunal rösträtt. De andra få den icke. |</w:t>
        <w:br/>
        <w:br/>
        <w:t>Nu har utskottet visserligen ansett, att förhållandena icke påkalla så vidlyftiga anordningar, som Kungl. Maj:t här föreslagit,</w:t>
        <w:br/>
        <w:br/>
        <w:t>Förslag om och utskottet har därför vidtagit åtskilliga förenklingar, som jag ändrad lydelse dock icke will kalla förbättringar, utan jag håller före, att äfven</w:t>
        <w:br/>
        <w:br/>
        <w:t xml:space="preserve">utskottets förslag är oantagligt, att det hvarken skulle vara nyttigt eller nödigt att antaga detsamma. Det är en gammal praxis, en regel, snart sagdt utan undantag, att den </w:t>
      </w:r>
      <w:r>
        <w:rPr>
          <w:b/>
        </w:rPr>
        <w:t>kvinna¹</w:t>
      </w:r>
      <w:r>
        <w:rPr>
          <w:b w:val="0"/>
        </w:rPr>
        <w:t xml:space="preserve">, som äger egendom, öfver hvilken </w:t>
      </w:r>
      <w:r>
        <w:rPr>
          <w:b/>
        </w:rPr>
        <w:t>hon²</w:t>
      </w:r>
      <w:r>
        <w:rPr>
          <w:b w:val="0"/>
        </w:rPr>
        <w:t xml:space="preserve"> själf råder, då </w:t>
      </w:r>
      <w:r>
        <w:rPr>
          <w:b/>
        </w:rPr>
        <w:t>hon²</w:t>
      </w:r>
      <w:r>
        <w:rPr>
          <w:b w:val="0"/>
        </w:rPr>
        <w:t xml:space="preserve"> uppgifvit detta för taxeringsnämnden, också blir taxerad härför. Hvad tjänar då hela denna anordning till? Det står i bevillningsförordningen, att den, som äger fast egendom, också skall för densamma taxeras. Om således gift </w:t>
      </w:r>
      <w:r>
        <w:rPr>
          <w:b/>
        </w:rPr>
        <w:t>kvinna¹</w:t>
      </w:r>
      <w:r>
        <w:rPr>
          <w:b w:val="0"/>
        </w:rPr>
        <w:t xml:space="preserve"> äger fast egendom, taxeras </w:t>
      </w:r>
      <w:r>
        <w:rPr>
          <w:b/>
        </w:rPr>
        <w:t>hon²</w:t>
      </w:r>
      <w:r>
        <w:rPr>
          <w:b w:val="0"/>
        </w:rPr>
        <w:t xml:space="preserve"> för densamma enligt gällande förordning utan alla omvägar. Om inkomst står det visserligen, att mannen skall lämna uppgift för båda, men det bar praktiserats så, att, om </w:t>
      </w:r>
      <w:r>
        <w:rPr>
          <w:b/>
        </w:rPr>
        <w:t>kvinnan¹</w:t>
      </w:r>
      <w:r>
        <w:rPr>
          <w:b w:val="0"/>
        </w:rPr>
        <w:t xml:space="preserve"> lämnar uppgift om sin inkomst, bon i alla fall blir därför taxerad och sålunda får den rösträtt, hvarom här är tal.</w:t>
        <w:br/>
        <w:br/>
        <w:t xml:space="preserve">Men denna fråga får en helt annan betydelse, om Riksdagen antager en förordning, som snart sagdt inbjuder och uppmuntrar </w:t>
      </w:r>
      <w:r>
        <w:rPr>
          <w:b/>
        </w:rPr>
        <w:t>kvinnan¹</w:t>
      </w:r>
      <w:r>
        <w:rPr>
          <w:b w:val="0"/>
        </w:rPr>
        <w:t xml:space="preserve"> att skaffa sig inkomst, hvaröfver </w:t>
      </w:r>
      <w:r>
        <w:rPr>
          <w:b/>
        </w:rPr>
        <w:t>hon²</w:t>
      </w:r>
      <w:r>
        <w:rPr>
          <w:b w:val="0"/>
        </w:rPr>
        <w:t xml:space="preserve"> ensam råder, för att sålunda få den kommnnala rösträtten och därmed kastas in i de kommunala striderna samt dragas bort från de långt viktigare uppgifter, som </w:t>
      </w:r>
      <w:r>
        <w:rPr>
          <w:b/>
        </w:rPr>
        <w:t>hon²</w:t>
      </w:r>
      <w:r>
        <w:rPr>
          <w:b w:val="0"/>
        </w:rPr>
        <w:t xml:space="preserve"> har att fylla i sitt eget hem. Och dessutom, mina herrar, om man nu önskar, att </w:t>
      </w:r>
      <w:r>
        <w:rPr>
          <w:b/>
        </w:rPr>
        <w:t>kvinnan¹</w:t>
      </w:r>
      <w:r>
        <w:rPr>
          <w:b w:val="0"/>
        </w:rPr>
        <w:t xml:space="preserve"> mera allmänt skall deltaga i de kommunala angelägenheterna — en önskan, som jag hvarken vill öfverskatta eller underskatta —, är det då rättvist och billigt att säga, att den </w:t>
      </w:r>
      <w:r>
        <w:rPr>
          <w:b/>
        </w:rPr>
        <w:t>kvinna¹</w:t>
      </w:r>
      <w:r>
        <w:rPr>
          <w:b w:val="0"/>
        </w:rPr>
        <w:t xml:space="preserve">, som har egendom, hvaröfver </w:t>
      </w:r>
      <w:r>
        <w:rPr>
          <w:b/>
        </w:rPr>
        <w:t>hon²</w:t>
      </w:r>
      <w:r>
        <w:rPr>
          <w:b w:val="0"/>
        </w:rPr>
        <w:t xml:space="preserve"> ensam råder, skall hafva kommunal rösträtt, men andra skola icke hafva denna rätt. Kan man icke ändå i det hela antaga, att den </w:t>
      </w:r>
      <w:r>
        <w:rPr>
          <w:b/>
        </w:rPr>
        <w:t>kvinna¹</w:t>
      </w:r>
      <w:r>
        <w:rPr>
          <w:b w:val="0"/>
        </w:rPr>
        <w:t xml:space="preserve">, som fyller sin uppgift i hemmet och drager omvårdnad om barnens uppfostran, bidrager lika mycket till hemmets välstånd som den, som händelsevis har en inkomst eller egendom, öfver hvilken </w:t>
      </w:r>
      <w:r>
        <w:rPr>
          <w:b/>
        </w:rPr>
        <w:t>hon²</w:t>
      </w:r>
      <w:r>
        <w:rPr>
          <w:b w:val="0"/>
        </w:rPr>
        <w:t xml:space="preserve"> äger att ensam råda?</w:t>
        <w:br/>
        <w:br/>
        <w:t xml:space="preserve">För mig står det tämligen klart, att man hvarken med Kungl. Maj:ts proposition eller utskottets förslag kommer till rätta i denna fråga. Man vinner icke målet. Man vinner icke stort mer, än man redan förut har. Man ger hjälpgumman rösträtt men icke frun. Lösningen blir ingalunda fullständig utan det blir ett palliativ. Vissa </w:t>
      </w:r>
      <w:r>
        <w:rPr>
          <w:b/>
        </w:rPr>
        <w:t>kvinnor¹</w:t>
      </w:r>
      <w:r>
        <w:rPr>
          <w:b w:val="0"/>
        </w:rPr>
        <w:t xml:space="preserve"> få rösträtt, andra få den icke, fastän dessa andra kanske hafva lika stora förutsättningar som de förra. Därför, ehuru jag mera sympatiserar med Kungl. Maj:ts förslag än med utskottets, skall jag på de skäl jag anfört be, herr grefve och talman, att få yrka, att 7 &amp; antages med bortfallande af sista stycket i utskottets förslag: »Är skattskyldig gift — — — enligt inkomstskatteförordningen aflämnats», samt att kammaren måtte afslå Kungl. Maj:ts proposition i denna del.</w:t>
      </w:r>
    </w:p>
    <w:p>
      <w:pPr>
        <w:pStyle w:val="Heading2"/>
      </w:pPr>
      <w:r>
        <w:t>4. unknown (–, –)</w:t>
      </w:r>
    </w:p>
    <w:p>
      <w:r>
        <w:rPr>
          <w:b w:val="0"/>
        </w:rPr>
        <w:t xml:space="preserve">I slutet af sitt anförande framhöll herr Förslag om statsrådet och chefen för finansdepartementet som ett slags pallaändrad lydelse dium, som han ville tillerkänna </w:t>
      </w:r>
      <w:r>
        <w:rPr>
          <w:b/>
        </w:rPr>
        <w:t>kvinnan¹</w:t>
      </w:r>
      <w:r>
        <w:rPr>
          <w:b w:val="0"/>
        </w:rPr>
        <w:t xml:space="preserve">, den kommunala rösträtbvillningaför ten. Det låter ju litet egendomligt från en regeringsmedlem, som ordningen redan förra året gjorde den kommunala rösträtten så osmaklig som m.m. möjligt för oss. Och jag ber att få instämma med herr Wester (Forts.) däri, att de blifvande kommunalstämmorna ej skola vara synnerligen lockande för </w:t>
      </w:r>
      <w:r>
        <w:rPr>
          <w:b/>
        </w:rPr>
        <w:t>kvinnomna¹</w:t>
      </w:r>
      <w:r>
        <w:rPr>
          <w:b w:val="0"/>
        </w:rPr>
        <w:t>. Detta palladium vill jag därför ej gifva mycket för.</w:t>
        <w:br/>
        <w:br/>
        <w:t>Vidare har herr statsrådet och chefen för finansdepartementet framhållit, att det är på grund af 1904 års skrifvelse, som detta förslag framlagts. Det är fullkomligt riktigt. Jag var då ej benägen för skrifvelsen, men jag vill säga, att, då frågan nu föreligger, jag vill se den ur lojal, praktisk synpunkt och göra den så litet obehaglig som möjligt i tillämpningen. Därför har jag ej ställt mig på afslag som en del andra.</w:t>
        <w:br/>
        <w:br/>
        <w:t>Jag ber då få säga, att de statsfinansiella synpunkterna, efter hvad jag vågar påstå, äro ytterst små både ur den ena och den andra synpunkten. Och dem ville ju ej heller herr statsrådet och chefen för finausdepartementet påstå vara så stora. Men jag vill säga, att skillnaden härutinnan mellan Kungl Maj:ts och utskottets förslag är rent af ingen. Den ör så obetydligt verkande för sig, att den ej framträder, om man ej särskildt stryker under den, så att den är intet att tala om.</w:t>
        <w:br/>
        <w:br/>
        <w:t xml:space="preserve">Hvad beträffar möjligheten för </w:t>
      </w:r>
      <w:r>
        <w:rPr>
          <w:b/>
        </w:rPr>
        <w:t>kvinnan¹</w:t>
      </w:r>
      <w:r>
        <w:rPr>
          <w:b w:val="0"/>
        </w:rPr>
        <w:t xml:space="preserve"> att få sin egen debetsedel är skillnaden ej heller stor. Kungl. Maj:t säger, att </w:t>
      </w:r>
      <w:r>
        <w:rPr>
          <w:b/>
        </w:rPr>
        <w:t>hon²</w:t>
      </w:r>
      <w:r>
        <w:rPr>
          <w:b w:val="0"/>
        </w:rPr>
        <w:t xml:space="preserve"> skall hafva sin egen debetsedel. Vi säga, att </w:t>
      </w:r>
      <w:r>
        <w:rPr>
          <w:b/>
        </w:rPr>
        <w:t>hon²</w:t>
      </w:r>
      <w:r>
        <w:rPr>
          <w:b w:val="0"/>
        </w:rPr>
        <w:t xml:space="preserve"> får det, om </w:t>
      </w:r>
      <w:r>
        <w:rPr>
          <w:b/>
        </w:rPr>
        <w:t>hon²</w:t>
      </w:r>
      <w:r>
        <w:rPr>
          <w:b w:val="0"/>
        </w:rPr>
        <w:t xml:space="preserve"> vill.</w:t>
        <w:br/>
        <w:br/>
        <w:t>Det är skillnaden. Det anser herr statsrådet och chefen för finansdepartementet vara ett svårt slag mot principen. Men som herrarna väl kunna förstå, är det ju blott en rent praktisk fråga.</w:t>
        <w:br/>
        <w:br/>
        <w:t xml:space="preserve">Vidare ber jag att få säga, att vi ej hafva sett förslaget ur synpunkten af de större inkomsterna eller sådana fall, där det kan påvisas, t. ex. hvad </w:t>
      </w:r>
      <w:r>
        <w:rPr>
          <w:b/>
        </w:rPr>
        <w:t>kvinnan¹</w:t>
      </w:r>
      <w:r>
        <w:rPr>
          <w:b w:val="0"/>
        </w:rPr>
        <w:t xml:space="preserve"> har i inkomst af en affär. Vi hafva ej sett frågan ur principiell synpunkt, utan såsom en ren lämplighetsfråga för oss, när vi sitta vid taxeringarna och hafva att göra med detta. I motiveringen står det också på sid 8: »Medan för närvarande makarnas inkomster uppföras i sammanräknade summor under mannens namn, skulle enligt förslaget i alla de fall, där makarnas sammanräknade inkomster uppgått till beskattningsbart belopp och däri ingått en än så liten inkomst, däröfver </w:t>
      </w:r>
      <w:r>
        <w:rPr>
          <w:b/>
        </w:rPr>
        <w:t>hustrun²</w:t>
      </w:r>
      <w:r>
        <w:rPr>
          <w:b w:val="0"/>
        </w:rPr>
        <w:t xml:space="preserve"> enligt lag ägt ensam råda, taxeringsmyndighet vara skyldig att i längden uppföra under makarnas skilda namn särskilda summor för mannen och särskilda summor för </w:t>
      </w:r>
      <w:r>
        <w:rPr>
          <w:b/>
        </w:rPr>
        <w:t>hustrun²</w:t>
      </w:r>
      <w:r>
        <w:rPr>
          <w:b w:val="0"/>
        </w:rPr>
        <w:t>.» Vi skola försöka att krypa ned så långt som till en enkel taxeringsordförande, som sitter i sitt distrikt. Vi äro inne på egendomarne. De hafva sina statare. De hafva kanske i allmänhet de minsta inkomster, som</w:t>
        <w:br/>
        <w:br/>
        <w:t xml:space="preserve">äro taxeringsbara. Men det befinnes, att en </w:t>
      </w:r>
      <w:r>
        <w:rPr>
          <w:b/>
        </w:rPr>
        <w:t>hustru²</w:t>
      </w:r>
      <w:r>
        <w:rPr>
          <w:b w:val="0"/>
        </w:rPr>
        <w:t xml:space="preserve"> har 100 kronor särskildt för t. ex. mjölkningsbestyr. Då skall </w:t>
      </w:r>
      <w:r>
        <w:rPr>
          <w:b/>
        </w:rPr>
        <w:t>hon²</w:t>
      </w:r>
      <w:r>
        <w:rPr>
          <w:b w:val="0"/>
        </w:rPr>
        <w:t xml:space="preserve"> enligt Kungl Maj:ts förslag hafva sin egen debetsedel. Vi tro däremot, att </w:t>
      </w:r>
      <w:r>
        <w:rPr>
          <w:b/>
        </w:rPr>
        <w:t>hon²</w:t>
      </w:r>
      <w:r>
        <w:rPr>
          <w:b w:val="0"/>
        </w:rPr>
        <w:t xml:space="preserve"> ej åstundar det, och vilja lämna valfrihet. Det är ej så, som herr statsrådet och chefen för finansdepartementet säger, att taxeringsmyndigheterna hafva reda på hvad hvar och en har. ”Taxeringsmyndigheterna, såsom de äro sammansatta, kunna ej hafva reda på alla dessa små inkomster, som komma i fråga vid taxeringsförrättningarna, utan det kan hända, att ett tjog damer komma och klaga: jag har den och den inkomsten, hvarför har jag ej fått någon debetsedel.</w:t>
        <w:br/>
        <w:br/>
        <w:t xml:space="preserve">Det beredde oss mycket bekymmer i bevillningsutskottet, huru vi skulle lösa denna fråga. Det gällde, om vi skulle lösa frågan på det sätt, att vi skulle sätta en bestämd minimiinkomst, som skulle finnas för särskild beskattning, eller lösa den på annat sätt. Då blef genom kansliet, som känner någorlunda, huru man lämpligen skall göra en formulering, den formuleringen gjord, att </w:t>
      </w:r>
      <w:r>
        <w:rPr>
          <w:b/>
        </w:rPr>
        <w:t>kvinnan¹</w:t>
      </w:r>
      <w:r>
        <w:rPr>
          <w:b w:val="0"/>
        </w:rPr>
        <w:t xml:space="preserve"> skulle själf få afgöra. Ingen blefve då lidande, ingen förnärmad. Vill </w:t>
      </w:r>
      <w:r>
        <w:rPr>
          <w:b/>
        </w:rPr>
        <w:t>kvinnan¹</w:t>
      </w:r>
      <w:r>
        <w:rPr>
          <w:b w:val="0"/>
        </w:rPr>
        <w:t xml:space="preserve"> hafva sin egen debetsedel, får </w:t>
      </w:r>
      <w:r>
        <w:rPr>
          <w:b/>
        </w:rPr>
        <w:t>hon²</w:t>
      </w:r>
      <w:r>
        <w:rPr>
          <w:b w:val="0"/>
        </w:rPr>
        <w:t xml:space="preserve"> säga ifrån; vill </w:t>
      </w:r>
      <w:r>
        <w:rPr>
          <w:b/>
        </w:rPr>
        <w:t>hon²</w:t>
      </w:r>
      <w:r>
        <w:rPr>
          <w:b w:val="0"/>
        </w:rPr>
        <w:t xml:space="preserve"> det ej, slipper </w:t>
      </w:r>
      <w:r>
        <w:rPr>
          <w:b/>
        </w:rPr>
        <w:t>hon²</w:t>
      </w:r>
      <w:r>
        <w:rPr>
          <w:b w:val="0"/>
        </w:rPr>
        <w:t xml:space="preserve">. Vi ha sett frågan ur rent praktisk synpunkt. Herrarna förstå, hvad frågan gäller. Beträffande de små inkomsterna kunde det ju ej blifva fråga om något intresse af att </w:t>
      </w:r>
      <w:r>
        <w:rPr>
          <w:b/>
        </w:rPr>
        <w:t>hon²</w:t>
      </w:r>
      <w:r>
        <w:rPr>
          <w:b w:val="0"/>
        </w:rPr>
        <w:t xml:space="preserve"> skulle få eller icke få sin debetsedel, utan endast om en lämplighetstillämpning. Det finns ett ordspråk, som säger: om man gifver en viss potentat ett finger, tager han oftast hela handen. Vi begära ofta i skrifvelser en hel del saker, men vi drömma ej om, hvad vi skola få. Herr statsrådet och chefen för finansdepartementet har här varit generös och gifvit oss långt mer än vi kunna smälta vid dessa enkla taxeringsförrättningar, då vi få bära tungan af detta. Därför vill jag reducera saken till en mycket enkel lämplighetsfråga.</w:t>
        <w:br/>
        <w:br/>
        <w:t>Här har framhållits att principen skulle rubbas. Visst icke, det gäller blott en lämplighetsfråga på ett område, hvarest vi få knoga och arbeta och där vi, som i så många andra fall, få erfara burusom en författning, då den skall tillämpas, visar sig ha en vidd, som man aldrig ens drömt om. Detta är utskottets egentliga motivering, och vi ha ansett att det här som sagdt icke gäller någonting af större betydenhet utan något så obetydligt som helst. Och jag tror ej att det kan vara någon anledning för kammaren att ej finna utskottets förslag vida mera praktiskt och klart än Kungl. Maj:ts, likasom herrarna torde finna, att utskottets förslag ej på minsta sätt, såsom finansministern tycktes förmena, rubbar den stora principen. Från statsrådsbänken talades äfven om inkonsekvenserna hos vårt förslag, hvilket fullkomligt nedsablades, under det att däremot Kungl. Maj:ts förslag skulle vid tillämpningen visa sig såsom ett fullständigt eldorado. .</w:t>
        <w:br/>
        <w:br/>
        <w:t xml:space="preserve">Jag får säga att de nuvarande förhållandena äro i hög grad Förslag om besvärliga, deklarationsblanketterna äro i många fall otydliga och a ce Er det är ett fåtal af deklarationsskyldiga som förstå sig på att sätta bevillningsförupp sina deklarationer fullt rätt. Kollisioner kunna inträffa, såsom ordningen finansministern antydde genom sitt exempel, om man och </w:t>
      </w:r>
      <w:r>
        <w:rPr>
          <w:b/>
        </w:rPr>
        <w:t>hustru²</w:t>
      </w:r>
      <w:r>
        <w:rPr>
          <w:b w:val="0"/>
        </w:rPr>
        <w:t xml:space="preserve"> 2. m. på olika håll. Huru t. ex. få reda på hvad den frånskilda </w:t>
      </w:r>
      <w:r>
        <w:rPr>
          <w:b/>
        </w:rPr>
        <w:t>hustrun²</w:t>
      </w:r>
      <w:r>
        <w:rPr>
          <w:b w:val="0"/>
        </w:rPr>
        <w:t xml:space="preserve"> = (Forts.) har för inkomst, och skall </w:t>
      </w:r>
      <w:r>
        <w:rPr>
          <w:b/>
        </w:rPr>
        <w:t>hustrun²</w:t>
      </w:r>
      <w:r>
        <w:rPr>
          <w:b w:val="0"/>
        </w:rPr>
        <w:t xml:space="preserve"> deklarera och icke mannen, då blir det ett fullständigt virrvarr.</w:t>
        <w:br/>
        <w:br/>
        <w:t>Det är mycket lätt att framkasta ett förslag grundadt på en viss teori, men att på beskattningens område få till stånd författningar, som ej kunna gifva anledning till missförstånd och framkalla missförhållanden, vill jag påstå hör till det omöjliga. Frågan gäller här helt enkelt att få en förordning som blir lätt att tilllämpa.</w:t>
        <w:br/>
        <w:br/>
        <w:t>På basis af hvad jag nu anfört anhåller jag att få yrka bifall till utskottets förslag.</w:t>
      </w:r>
    </w:p>
    <w:p>
      <w:pPr>
        <w:pStyle w:val="Heading2"/>
      </w:pPr>
      <w:r>
        <w:t>5. Ernst Trygger (Första kammarens nationella parti, man)</w:t>
      </w:r>
    </w:p>
    <w:p>
      <w:r>
        <w:rPr>
          <w:b w:val="0"/>
        </w:rPr>
        <w:t xml:space="preserve">År 1904 förordade jag den skrifvelse, som Riksdagen aflät, och jag röstade äfven för det förslag. som icke vann denna kammares bifall, att </w:t>
      </w:r>
      <w:r>
        <w:rPr>
          <w:b/>
        </w:rPr>
        <w:t>hustrun²</w:t>
      </w:r>
      <w:r>
        <w:rPr>
          <w:b w:val="0"/>
        </w:rPr>
        <w:t xml:space="preserve"> skulle vara deklarationsskyldig i det fall, då </w:t>
      </w:r>
      <w:r>
        <w:rPr>
          <w:b/>
        </w:rPr>
        <w:t>hon²</w:t>
      </w:r>
      <w:r>
        <w:rPr>
          <w:b w:val="0"/>
        </w:rPr>
        <w:t xml:space="preserve"> skulle taxeras. Det är klart att jag då äfven biträder den mening, som fått sitt uttryck i Kungl. Maj:ts förslag, och jag skall be att få därför anföra några skäl utöfver dem, som redan anförts.</w:t>
        <w:br/>
        <w:br/>
        <w:t xml:space="preserve">Enligt min mening ligger det i själfva verket uti vår lags bestämmelse att </w:t>
      </w:r>
      <w:r>
        <w:rPr>
          <w:b/>
        </w:rPr>
        <w:t>kvinnan¹</w:t>
      </w:r>
      <w:r>
        <w:rPr>
          <w:b w:val="0"/>
        </w:rPr>
        <w:t xml:space="preserve"> äger rättighet att råda öfver viss egendom, nämligen sin arbetsförtjänst först och främst och dessutom egendom, hvaröfver </w:t>
      </w:r>
      <w:r>
        <w:rPr>
          <w:b/>
        </w:rPr>
        <w:t>hon²</w:t>
      </w:r>
      <w:r>
        <w:rPr>
          <w:b w:val="0"/>
        </w:rPr>
        <w:t xml:space="preserve"> genom äktenskapsförord förbehållit sig förvaltningsrätt; det ligger i denna rättighets natur, säger jag, äfvenledes befogenhet att representera denna egendom i skatteafseende samt att själf stå för den skatt, som för denna egendom skall utgöras. Mig synes det vara en oegentlighet att säga: »jag råder öfver min egendom», när jag icke har rätt att deklarera den enligt gällande lagstiftning, utan detta skall göras af en annan, och vidare, att en annan skall betala skatt för min egendom, det är väl icke heller riktigt, lika litet som att jag sedan skall vara underkastad att draga konsekvenserna af dennes åtgöranden. Att de nuvarande bestämmelserna alltså icke kunna vara rimliga och rättvisa synes mig påtagligt, utan </w:t>
      </w:r>
      <w:r>
        <w:rPr>
          <w:b/>
        </w:rPr>
        <w:t>kvinnan¹</w:t>
      </w:r>
      <w:r>
        <w:rPr>
          <w:b w:val="0"/>
        </w:rPr>
        <w:t xml:space="preserve"> måste få befogenhet att deklarera med afseende å </w:t>
      </w:r>
      <w:r>
        <w:rPr>
          <w:b/>
        </w:rPr>
        <w:t>hennes²</w:t>
      </w:r>
      <w:r>
        <w:rPr>
          <w:b w:val="0"/>
        </w:rPr>
        <w:t xml:space="preserve"> ifrågavarande egendom. Så långt har äfven utskottet följt med. Men nu kommer det skäl, som anförts från statsrådsbänken, eller att man icke med fog kan göra en sådan sak som deklaration beroende på huruvida </w:t>
      </w:r>
      <w:r>
        <w:rPr>
          <w:b/>
        </w:rPr>
        <w:t>kvinnan¹</w:t>
      </w:r>
      <w:r>
        <w:rPr>
          <w:b w:val="0"/>
        </w:rPr>
        <w:t xml:space="preserve"> vill själf särskillt taxeras eller icke. Hela denna särskilda taxering för </w:t>
      </w:r>
      <w:r>
        <w:rPr>
          <w:b/>
        </w:rPr>
        <w:t>hustrun²</w:t>
      </w:r>
      <w:r>
        <w:rPr>
          <w:b w:val="0"/>
        </w:rPr>
        <w:t xml:space="preserve"> skulle, på sätt bevillningsutskottet här har föreslagit, bero på </w:t>
      </w:r>
      <w:r>
        <w:rPr>
          <w:b/>
        </w:rPr>
        <w:t>hennes²</w:t>
      </w:r>
      <w:r>
        <w:rPr>
          <w:b w:val="0"/>
        </w:rPr>
        <w:t xml:space="preserve"> förgodtfinnande, men samtidigt skulle </w:t>
      </w:r>
      <w:r>
        <w:rPr>
          <w:b/>
        </w:rPr>
        <w:t>kvinnans¹</w:t>
      </w:r>
      <w:r>
        <w:rPr>
          <w:b w:val="0"/>
        </w:rPr>
        <w:t xml:space="preserve"> anmälan</w:t>
        <w:br/>
        <w:br/>
        <w:t xml:space="preserve">att </w:t>
      </w:r>
      <w:r>
        <w:rPr>
          <w:b/>
        </w:rPr>
        <w:t>hon²</w:t>
      </w:r>
      <w:r>
        <w:rPr>
          <w:b w:val="0"/>
        </w:rPr>
        <w:t xml:space="preserve"> ville bli taxerad särskildt innebära i viss mån ett ingrepp i den ställning, som regelmässigt tillkommer mannen. Det torde vara en inom äktenskapslagstiftningen och därmed sammanhängande lagstiftning allmänt erkänd sats, att om man vill gifva </w:t>
      </w:r>
      <w:r>
        <w:rPr>
          <w:b/>
        </w:rPr>
        <w:t>kvinnan¹</w:t>
      </w:r>
      <w:r>
        <w:rPr>
          <w:b w:val="0"/>
        </w:rPr>
        <w:t xml:space="preserve"> en befogenhet, som på något sätt inskränker mannens regelmässiga ställning, bör man gifva </w:t>
      </w:r>
      <w:r>
        <w:rPr>
          <w:b/>
        </w:rPr>
        <w:t>henne²</w:t>
      </w:r>
      <w:r>
        <w:rPr>
          <w:b w:val="0"/>
        </w:rPr>
        <w:t xml:space="preserve"> denna rätt uttryckligen i lagen och man bör icke lämna </w:t>
      </w:r>
      <w:r>
        <w:rPr>
          <w:b/>
        </w:rPr>
        <w:t>henne²</w:t>
      </w:r>
      <w:r>
        <w:rPr>
          <w:b w:val="0"/>
        </w:rPr>
        <w:t xml:space="preserve"> den endast under förutsättning att </w:t>
      </w:r>
      <w:r>
        <w:rPr>
          <w:b/>
        </w:rPr>
        <w:t>hon²</w:t>
      </w:r>
      <w:r>
        <w:rPr>
          <w:b w:val="0"/>
        </w:rPr>
        <w:t xml:space="preserve"> gör anspråk därpå. Då kommer nämligen i en mängd fall </w:t>
      </w:r>
      <w:r>
        <w:rPr>
          <w:b/>
        </w:rPr>
        <w:t>kvinnan¹</w:t>
      </w:r>
      <w:r>
        <w:rPr>
          <w:b w:val="0"/>
        </w:rPr>
        <w:t xml:space="preserve"> icke i åtnjutande af den ställning, som man vill gifva </w:t>
      </w:r>
      <w:r>
        <w:rPr>
          <w:b/>
        </w:rPr>
        <w:t>henne²</w:t>
      </w:r>
      <w:r>
        <w:rPr>
          <w:b w:val="0"/>
        </w:rPr>
        <w:t xml:space="preserve">, och om </w:t>
      </w:r>
      <w:r>
        <w:rPr>
          <w:b/>
        </w:rPr>
        <w:t>hon²</w:t>
      </w:r>
      <w:r>
        <w:rPr>
          <w:b w:val="0"/>
        </w:rPr>
        <w:t xml:space="preserve"> verkligen begagnar sig af den rätt, som är afsedd att gifvas </w:t>
      </w:r>
      <w:r>
        <w:rPr>
          <w:b/>
        </w:rPr>
        <w:t>henne²</w:t>
      </w:r>
      <w:r>
        <w:rPr>
          <w:b w:val="0"/>
        </w:rPr>
        <w:t xml:space="preserve">, kan detta ofta vålla obehag och tråkigheter inom äktenskapet. Jag tror för min del därföre att, ifall man skulle stanna vid utskottets förslag, skulle man utöfver de olägenheter, som redan förut äro anförda, kunna säga att däraf skulle uppstå olämpliga följder äfven i afseende å förhållandet makarne emellan så till vida, som det skulle kunna uppfattas såsom ett misstroende mot mannen, när </w:t>
      </w:r>
      <w:r>
        <w:rPr>
          <w:b/>
        </w:rPr>
        <w:t>hustrun²</w:t>
      </w:r>
      <w:r>
        <w:rPr>
          <w:b w:val="0"/>
        </w:rPr>
        <w:t xml:space="preserve"> begagnar sig af sin rätt att erhålla särskild taxering.</w:t>
        <w:br/>
        <w:br/>
        <w:t xml:space="preserve">Men det är icke dessa synpukter, som för mig vid denna fråga äro de hufvudsakliga, utan det är synpunkten af den kommunala rösträtten. Beskattning är ju förutsättning för den kommunala rösträtten, och följaktligen, vill man gifva den gifta </w:t>
      </w:r>
      <w:r>
        <w:rPr>
          <w:b/>
        </w:rPr>
        <w:t>kvinnan¹</w:t>
      </w:r>
      <w:r>
        <w:rPr>
          <w:b w:val="0"/>
        </w:rPr>
        <w:t xml:space="preserve"> kommunal rösträtt, finnes det ingen annan väg än att göra </w:t>
      </w:r>
      <w:r>
        <w:rPr>
          <w:b/>
        </w:rPr>
        <w:t>henne²</w:t>
      </w:r>
      <w:r>
        <w:rPr>
          <w:b w:val="0"/>
        </w:rPr>
        <w:t xml:space="preserve"> skattskyldig till kommunen. Vill man att </w:t>
      </w:r>
      <w:r>
        <w:rPr>
          <w:b/>
        </w:rPr>
        <w:t>hon²</w:t>
      </w:r>
      <w:r>
        <w:rPr>
          <w:b w:val="0"/>
        </w:rPr>
        <w:t xml:space="preserve"> i så stor utsträckning som möjligt skall få denna kommunala rösträtt, bör man också göra bestämmelserna i fråga om skattskyldigheten så vidsträckta som möjligt. Jag tror för öfrigt ej att man kan stanna vid den kommunala rösträtten, utan jag håller före att när vi komma till att lösa den stora frågan angående den politiska rösträtten för </w:t>
      </w:r>
      <w:r>
        <w:rPr>
          <w:b/>
        </w:rPr>
        <w:t>kvinnan¹</w:t>
      </w:r>
      <w:r>
        <w:rPr>
          <w:b w:val="0"/>
        </w:rPr>
        <w:t xml:space="preserve">, kommer det nog att med skäl ifrågasättas, huruvida icke den lösning kanske är den riktiga, som till en början låter </w:t>
      </w:r>
      <w:r>
        <w:rPr>
          <w:b/>
        </w:rPr>
        <w:t>kvinnans¹</w:t>
      </w:r>
      <w:r>
        <w:rPr>
          <w:b w:val="0"/>
        </w:rPr>
        <w:t xml:space="preserve"> polititiska rösträtt vara beroende af den kommunala. För dem, som hafva den uppfattningen, är det naturligtvis af en alldeles särskildt stor vikt att i alla de fall, då </w:t>
      </w:r>
      <w:r>
        <w:rPr>
          <w:b/>
        </w:rPr>
        <w:t>kvinnan¹</w:t>
      </w:r>
      <w:r>
        <w:rPr>
          <w:b w:val="0"/>
        </w:rPr>
        <w:t xml:space="preserve"> har en sådan ekonomisk ställning, vare sig på grund af sitt arbete eller på grund af sin förmögenhet, att bon enligt de grunder som i allmänhet gälla för kommunal rösträtt skulle blifva röstberättigad, </w:t>
      </w:r>
      <w:r>
        <w:rPr>
          <w:b/>
        </w:rPr>
        <w:t>hon²</w:t>
      </w:r>
      <w:r>
        <w:rPr>
          <w:b w:val="0"/>
        </w:rPr>
        <w:t xml:space="preserve"> äfven blifver det.</w:t>
        <w:br/>
        <w:br/>
        <w:t>På dessa skäl anhåller jag att få yrka bifall till Kungl. Maj:ts förslag.</w:t>
      </w:r>
    </w:p>
    <w:p>
      <w:pPr>
        <w:pStyle w:val="Heading2"/>
      </w:pPr>
      <w:r>
        <w:t>6. Carl Nyström (Första kammarens protektionistiska parti, man)</w:t>
      </w:r>
    </w:p>
    <w:p>
      <w:r>
        <w:rPr>
          <w:b w:val="0"/>
        </w:rPr>
        <w:t>Då herr Trygger så fullständigt anfört hvad jag i denna sak skulle velat framhålla, skall jag för att icke trötta kammaren med ett upprepande af hvad förut yttrats endast anhålla att få i allo instämma uti hans anförande.</w:t>
      </w:r>
    </w:p>
    <w:p>
      <w:pPr>
        <w:pStyle w:val="Heading2"/>
      </w:pPr>
      <w:r>
        <w:t>7. unknown (–, –)</w:t>
      </w:r>
    </w:p>
    <w:p>
      <w:r>
        <w:rPr>
          <w:b w:val="0"/>
        </w:rPr>
        <w:t>Då herr statsrådet och chefen för finans- Förslag om departementet gjorde ett uttalande, hvaraf de, hvilka ej närmare ER satt sig in i det föreliggande ämnet, möjligen skulle kunna draga bolbungs ör den slutsats, att kammarrätten afstyrkt det föreliggande förslaget, ordningen ber jag att få yttra några ord. m.m.</w:t>
        <w:br/>
        <w:br/>
        <w:t>Herr statsrådet erinrade nämligen om att bland de anmärk- (Forts. ningar som gjorts mot förslaget vore äfven den, att därest man gjorde en uppdelning af inkomsten för båda makarne, understundom skulle kunna inträffa, att ingendera makans inkomst uppginge till deklarationspliktigt belopp, att följaktligen ingen skulle komma att deklarera, och att däraf kunde blifva följden, att en del skatt ginge för staten förlorad. Men denna anmärkning gjorde kammarrätten icke i syfte att afstyrka förslaget, utan kammarrätten sökte utfinna ett medel att afhjälpa denna olägenhet och föreslog för det fall, att den make, som blefve deklarationsskyldig — om ingendera blefve det, kunde man ej hjälpa saken — skulle vara skyldig anmäla, om den andra makan åtnjöte inkomst som borde beskattas.</w:t>
        <w:br/>
        <w:br/>
        <w:t>Härmed åsyftades då, att beskattningsmyndigheterna skulle blifva i tillfälle att få kännedom om förhållandet och möjligen göra den utredning, som kunde påkallas för att beskatta den andra maken.</w:t>
        <w:br/>
        <w:br/>
        <w:t>Nu vill jag för min del ej hålla på det förslaget, utan an-</w:t>
        <w:br/>
        <w:br/>
        <w:t xml:space="preserve">håller endast att få yrka bifall till Kungl. Maj:ts proposition. Jag är nämligen af den uppfattningen, densamma som nyss från statsrådsbänken uttalats, att rättighet till kommunal rösträtt bör åtföljas af plikt att utöfva denna rösträtt. Följaktligen bör det icke göras beroende på </w:t>
      </w:r>
      <w:r>
        <w:rPr>
          <w:b/>
        </w:rPr>
        <w:t>hustruns²</w:t>
      </w:r>
      <w:r>
        <w:rPr>
          <w:b w:val="0"/>
        </w:rPr>
        <w:t xml:space="preserve"> eget initiativ att blifva beskattad, utan här bör finnas en bestämd föreskrift om att </w:t>
      </w:r>
      <w:r>
        <w:rPr>
          <w:b/>
        </w:rPr>
        <w:t>hon²</w:t>
      </w:r>
      <w:r>
        <w:rPr>
          <w:b w:val="0"/>
        </w:rPr>
        <w:t xml:space="preserve"> skall särskildt beskattas. Mig synes således, som om nu icke funnes någonting annat att välja emellan än bifall till Kungl. Maj:ts proposition eller afslag därå. För min del anser jag riktigast att bifalla Kungl. Maj:ts proposition, och det skulle väl dessutom förefalla bra egendomligt, om, sedan 1904 års Riksdag begärt förslag gående ut på en definitiv skyldighet för </w:t>
      </w:r>
      <w:r>
        <w:rPr>
          <w:b/>
        </w:rPr>
        <w:t>kvinnan¹</w:t>
      </w:r>
      <w:r>
        <w:rPr>
          <w:b w:val="0"/>
        </w:rPr>
        <w:t xml:space="preserve"> att blifva beskattad, Riksdagen nu skulle säga: vi vilja ej vara med därom och medgifva endast en fakultativ rättighet för </w:t>
      </w:r>
      <w:r>
        <w:rPr>
          <w:b/>
        </w:rPr>
        <w:t>henne²</w:t>
      </w:r>
      <w:r>
        <w:rPr>
          <w:b w:val="0"/>
        </w:rPr>
        <w:t xml:space="preserve"> att blifva beskattad. Detta vore en inkonsekvens, hvartill jag antager att Riksdagen ej skulle vilja göra sig skyldig, utan anhåller jag därför att få yrka bifall till Kungl. Maj:ts förslag.</w:t>
      </w:r>
    </w:p>
    <w:p>
      <w:pPr>
        <w:pStyle w:val="Heading2"/>
      </w:pPr>
      <w:r>
        <w:t>8. Joachim Beck Friis (–, man)</w:t>
      </w:r>
    </w:p>
    <w:p>
      <w:r>
        <w:rPr>
          <w:b w:val="0"/>
        </w:rPr>
        <w:t>Då jag inom utskottet understödt det förslag, som utskottet här framlagt, skall jag be att härför få andraga ett par skäl.</w:t>
        <w:br/>
        <w:br/>
        <w:t xml:space="preserve">Här har talats om att man borde gifva rätt åt </w:t>
      </w:r>
      <w:r>
        <w:rPr>
          <w:b/>
        </w:rPr>
        <w:t>kvinnan¹</w:t>
      </w:r>
      <w:r>
        <w:rPr>
          <w:b w:val="0"/>
        </w:rPr>
        <w:t xml:space="preserve"> att få förvärfva kommunal rösträtt. För min del är jag fullkomligt öfvertygad om att </w:t>
      </w:r>
      <w:r>
        <w:rPr>
          <w:b/>
        </w:rPr>
        <w:t>kvinnorna¹</w:t>
      </w:r>
      <w:r>
        <w:rPr>
          <w:b w:val="0"/>
        </w:rPr>
        <w:t xml:space="preserve"> i allmänhet ej hafva någon bestämd önskan i detta fall, utan att det därför vore nog, om man beredde</w:t>
        <w:br/>
        <w:br/>
        <w:t>Förslag om dem möjlighet att få egen debetsedel och däraf följande kommunal ändrad lydelse rösträtt. Men om Kungl. Maj:ts förslag skulle gå igenom, är jag</w:t>
        <w:br/>
        <w:br/>
        <w:t xml:space="preserve">öfvertygad om att däraf på många håll skulle framkallas mycket missnöje. Ty antag, att </w:t>
      </w:r>
      <w:r>
        <w:rPr>
          <w:b/>
        </w:rPr>
        <w:t>kvinnan¹</w:t>
      </w:r>
      <w:r>
        <w:rPr>
          <w:b w:val="0"/>
        </w:rPr>
        <w:t xml:space="preserve"> råder öfver 2- &amp; 300 kronor, hvarför </w:t>
      </w:r>
      <w:r>
        <w:rPr>
          <w:b/>
        </w:rPr>
        <w:t>hon²</w:t>
      </w:r>
      <w:r>
        <w:rPr>
          <w:b w:val="0"/>
        </w:rPr>
        <w:t xml:space="preserve"> skulle erhålla egen debetsedel, så beror det på mannens inkomst, om </w:t>
      </w:r>
      <w:r>
        <w:rPr>
          <w:b/>
        </w:rPr>
        <w:t>hon²</w:t>
      </w:r>
      <w:r>
        <w:rPr>
          <w:b w:val="0"/>
        </w:rPr>
        <w:t xml:space="preserve"> får rättighet till afdrag eller icke. Då </w:t>
      </w:r>
      <w:r>
        <w:rPr>
          <w:b/>
        </w:rPr>
        <w:t>hennes²</w:t>
      </w:r>
      <w:r>
        <w:rPr>
          <w:b w:val="0"/>
        </w:rPr>
        <w:t xml:space="preserve"> och mannens sammanlagda inkomst icke uppgår till 1,200 kronor, skulle därifrån få afdragas 450 kronor, och går den upp till mera än 1,200 men icke till 1,800 kronor, få 300 kronor afdragas, och då skulle detta bevillningsfria afdrag fördelas emellan hvad mannen skall skatta för och hvad </w:t>
      </w:r>
      <w:r>
        <w:rPr>
          <w:b/>
        </w:rPr>
        <w:t>hustrun²</w:t>
      </w:r>
      <w:r>
        <w:rPr>
          <w:b w:val="0"/>
        </w:rPr>
        <w:t xml:space="preserve"> skall skatta för. Går sammanlagda inkomsten upp till 1,800 kronor, får intet afdrag ske. BSåledes kommer att inträffa, att, om </w:t>
      </w:r>
      <w:r>
        <w:rPr>
          <w:b/>
        </w:rPr>
        <w:t>hustrun²</w:t>
      </w:r>
      <w:r>
        <w:rPr>
          <w:b w:val="0"/>
        </w:rPr>
        <w:t xml:space="preserve"> har 2- å 300 kronors inkomst, för hvilken </w:t>
      </w:r>
      <w:r>
        <w:rPr>
          <w:b/>
        </w:rPr>
        <w:t>hon²</w:t>
      </w:r>
      <w:r>
        <w:rPr>
          <w:b w:val="0"/>
        </w:rPr>
        <w:t xml:space="preserve"> skall erhålla debetsedel, det belopp, för hvilket </w:t>
      </w:r>
      <w:r>
        <w:rPr>
          <w:b/>
        </w:rPr>
        <w:t>hon²</w:t>
      </w:r>
      <w:r>
        <w:rPr>
          <w:b w:val="0"/>
        </w:rPr>
        <w:t xml:space="preserve"> skall erlägga kommunalutskylder, kan komma att blifva ganska olika, och jag är öfvertygad om att detta skulle väcka mycken förvåning, kanske äfven förargelse på många håll. 3å blefve äfven förhållandet, om </w:t>
      </w:r>
      <w:r>
        <w:rPr>
          <w:b/>
        </w:rPr>
        <w:t>hennes²</w:t>
      </w:r>
      <w:r>
        <w:rPr>
          <w:b w:val="0"/>
        </w:rPr>
        <w:t xml:space="preserve"> och mannens inkomster äro så stora, att de vore skyldiga betala inkomstskatt, då den procent, efter hvilken inkomstskatten skall utgå, beräknas efter deras sammanlagda inkomst, och jag föreställer mig, att här en ganska stor skillnad ofta komme att göra sig gällande.</w:t>
        <w:br/>
        <w:br/>
        <w:t xml:space="preserve">Jag tror därför att det är nog, om </w:t>
      </w:r>
      <w:r>
        <w:rPr>
          <w:b/>
        </w:rPr>
        <w:t>hustrun²</w:t>
      </w:r>
      <w:r>
        <w:rPr>
          <w:b w:val="0"/>
        </w:rPr>
        <w:t xml:space="preserve"> får rättighet att i de fall, då </w:t>
      </w:r>
      <w:r>
        <w:rPr>
          <w:b/>
        </w:rPr>
        <w:t>hon²</w:t>
      </w:r>
      <w:r>
        <w:rPr>
          <w:b w:val="0"/>
        </w:rPr>
        <w:t xml:space="preserve"> så önskar, få egen debetsedel, och att det skulle vara på </w:t>
      </w:r>
      <w:r>
        <w:rPr>
          <w:b/>
        </w:rPr>
        <w:t>henne²</w:t>
      </w:r>
      <w:r>
        <w:rPr>
          <w:b w:val="0"/>
        </w:rPr>
        <w:t xml:space="preserve"> själf detta skulle bero.</w:t>
        <w:br/>
        <w:br/>
        <w:t>Jag yrkar bifall till utskottets hemställan.</w:t>
      </w:r>
    </w:p>
    <w:p>
      <w:pPr>
        <w:pStyle w:val="Heading2"/>
      </w:pPr>
      <w:r>
        <w:t>9. Cornelius Sjöcrona (Första kammarens protektionistiska parti, man)</w:t>
      </w:r>
    </w:p>
    <w:p>
      <w:r>
        <w:rPr>
          <w:b w:val="0"/>
        </w:rPr>
        <w:t xml:space="preserve">Jag vill endast fästa uppmärksamheten därpå att de omständigheter, som den siste talaren påpekade, kunna inträffa precis lika väl, om </w:t>
      </w:r>
      <w:r>
        <w:rPr>
          <w:b/>
        </w:rPr>
        <w:t>hustrun²</w:t>
      </w:r>
      <w:r>
        <w:rPr>
          <w:b w:val="0"/>
        </w:rPr>
        <w:t xml:space="preserve"> begagnar sig af den fakultativa. rättigheten att få deklarera för sin inkomst, så att det uppgifna förhållandet synes mig icke hafva någon betydelse.</w:t>
        <w:br/>
        <w:br/>
        <w:t>Jag yrkar bifall till Kungl. Maj:ts förslag.</w:t>
        <w:br/>
        <w:br/>
        <w:t xml:space="preserve">fast egendom, dock under iakttagande att </w:t>
      </w:r>
      <w:r>
        <w:rPr>
          <w:b/>
        </w:rPr>
        <w:t>hustru²</w:t>
      </w:r>
      <w:r>
        <w:rPr>
          <w:b w:val="0"/>
        </w:rPr>
        <w:t xml:space="preserve">, som haft fastighet, däröfver </w:t>
      </w:r>
      <w:r>
        <w:rPr>
          <w:b/>
        </w:rPr>
        <w:t>hon²</w:t>
      </w:r>
      <w:r>
        <w:rPr>
          <w:b w:val="0"/>
        </w:rPr>
        <w:t xml:space="preserve"> enligt lag ägt ensam råda, må för sådan fastighet särskildt taxeras, sävidt </w:t>
      </w:r>
      <w:r>
        <w:rPr>
          <w:b/>
        </w:rPr>
        <w:t>hon²</w:t>
      </w:r>
      <w:r>
        <w:rPr>
          <w:b w:val="0"/>
        </w:rPr>
        <w:t xml:space="preserve"> före den 1 mars därom gör framställning hos vederbörande taxeringsnämnd. Genom aflämnande af sådan uppgift till ledning för egen taxering, som 1 förordningen om inkomstskatt omförmäles, skall framställning i dylikt afseende anses hafva blifvit gjord, såvidt angår fastighet, å den ort, där uppgift enligt inkomstskatteförordningen aflämnats.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