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1097</w:t>
      </w:r>
    </w:p>
    <w:p>
      <w:r>
        <w:rPr>
          <w:b/>
        </w:rPr>
        <w:t xml:space="preserve">Datum: </w:t>
      </w:r>
      <w:r>
        <w:t>1908-05-03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Karl Hildebrand (Nationella framstegspartiet, man)</w:t>
      </w:r>
    </w:p>
    <w:p>
      <w:r>
        <w:rPr>
          <w:b w:val="0"/>
        </w:rPr>
        <w:t>Herr talman! När man icke vill en sak, kan man nog få en mängd skäl för sitt afslagsyrkande. Och som skäl af detta slag måste jag uppfatta herr Beckmans uttalande, att denna lag skulle skada därigenom, att hvad nu sker i offentlighetens ljus skulle komma att försiggå i mörkret. Af detta skulle man ju kunna draga den slutsats, att den omständigheten, att förföljelserna hittills skett i tidningarna i offentlighetens ljus, skulle ha framkallat kontroll för dess beifrande, men så har alls icke varit fallet. Inemot 20 år har denna taktik fortsatts, och för hvarje år har den efter allt att döma blifvit kraftigare. Hvad har under dessa två decennier gjorts? Har herr Beckman gjort något, eller ha de öfriga reservanterna gjort någonting härför? Nej, allt har försiggått i offentlighetens ljus, och endast de förföljda ha vetat af det hela.</w:t>
        <w:br/>
        <w:br/>
        <w:t>Därtill kommer, att redan nu mycket sker i skymundan. Här talas om strejkbrytarmeddelanden och trakasserier, det talas om kommittéuppvaktningar hos den och den personen och om påtryckningar af olika slag. Allt detta undandrar sig redan nu offentlighetens ljus. Hvari trakasserierna bestå, är svårt att säga, men det är alldeles klart, att dessa trakasserier äro mycket elakartade och mycket bekymmersamma för den det angår. Således ha vi redan nu en fortgående förföljelserörelse, så att säga bakom kulisserna, i skymundan. Den skulle icke komma till genom lagstiftningen, som rensar bort en hel del meddelanden ur pressen. Den finnes redan.</w:t>
        <w:br/>
        <w:br/>
        <w:t>En jämförelse, som var mycket förvånande, drogs af den föregående talaren, då han talade om arbetsgifvarnes afböner och likställde de plikter, de vitesbelopp, som vissa arbetsgifvare, som skilt sig från organisationen, fått betala, med den förföljelse af icke organiserade arbetare i den socialistiska pressen, som man gjort anmärkning på. Om en arbetsgifvare utgår ur organisationen och blir</w:t>
        <w:br/>
        <w:br/>
        <w:t>tvungen att för den skull betala ett större belopp, hvarför blir han On» ändring tvungen? Jo, då han ingick i organisationen, förband han sig att, Då 5 I:e : 3 - o : yckfrihets om han utginge, göra det. Han är sålunda bunden af sitt eget förordningen. godkännande af en eventuell utbetalning. Men när han talar om (Forts. dessa afböner af arbetare, icke finnes där någon föregående uppgörelse, något medgifvande från den förföljdes sida. Det är något helt annat, som därvid äger rum. Jämförelsen är icke riktig. Herr Lindqvist har här hållit ett ytterst intressant föredrag angående vissa former af den sociala striden, men det föreföll mig, som om bra mycket i det föredraget icke angick den fråga, som nu är före. Det tyckes mig både af detta anförande och af mötesdiskussionerna framgå, att man icke klargjort de grundprinciper, å hvilka man bygger sitt resonemang, och att man dragit jämförelser mellan företeelser, som icke äro jämförbara. Det är alldeles naturligt, såsom den senaste talaren nämnde, att organisationer bildats och att hvarje organisation skaffar sig och äger en viss bestämd rätt och viss makt öfver sina egna medlemmar. Detta är en grundprincip för hvarje organisationsrörelse. Och det enda, som man då kan kräfva, är, att medlemmarna skola vara frivilligt anslutna, d. v. s. att tvång icke användes för att få in medlemmar och att medlemmarna enligt former, som de själfva gillat, kunna få utgå ur organisationen. Man måste nu skilja mellan en organisations åtgärder mot sina egna medlemmar och mot utomstående, och här är det närmast fråga om tvångsåtgärder mot utomstående. Man måste också i motsättningen mellan arbetsgifvare och arbetare skilja mellan åtgärder, som rikta sig mot yrkeskamrater, och åtgärder mot den andra parten. Det är därför de svarta listorna, som arbetsgifvarne hålla, icke äro jämförliga med strejkbrytarmeddelandena i de socialistiska tidningarna. De förra vända sig mot den andra parten, mot arbetarne i vissa fall, då däremot strejkbrytaroch inpiskningsmeddelandena i den socialistiska pressen vända sig från de organiserade arbetarne till icke organiserade, det vill säga till yrkeskamrater. Nu är det tämligen klart, att, om arbetsgifvareorganisationerna trakassera en eller annan eller flera medlemmar af den andra parten, dessa kunna erhålla hjälp af sina fackorganiserade kamrater, men då fackorganiserade trakassera icke organiserade kamrater, bli dessa orimligt mycket sämre ställda, därför att de förföljas af yrkeskamrater, och arbetsgifvareorganisationerna kanske icke alls känna till detta och ha i hvarje fall icke samma intresse af att taga befattning med dem, som finnes, när det gäller egna medlemmar, och borde finnas, när det gäller yrkeskamrater. I denna punkt har man sålunda en bestämd skillnad mellan de stridsmedel arbetarne och arbetsgifvarne " begagna. En föregående talare har sagt, att arbetsgifvarne söka draga in i striden äfven en tredje part, exempelvis då målarmästarne i Kristianstad utskickade meddelanden till allmänheten med uppmaning</w:t>
        <w:br/>
        <w:br/>
        <w:t>att icke under pågående konflikt direkt använda strejkande arbetare. Ett sådant meddelande är ju fullkomligt likvärdigt med ett enkelt blockadmeddelande, men med den formulering utskottet gifvit grundlagstillägget skulle de enkla blockadmeddelandena icke beröras af denna grundlagsändring, och då har man här en jämförelse, som ställes utanför debatten, hvilken måste grunda sig på den nuvarande formuleringen.</w:t>
        <w:br/>
        <w:br/>
        <w:t>På detta sätt skulle jag kunna fortsätta och visa upp, att de jämförelser, som dragits af de socialdemokratiska talarne, icke hålla streck. Det enda, som kan komma i fråga att jämföra med arbetarnes kampmedel, äro de någon gång förekommande bojkottmeddelandena från arbetsgifvarne, meddelanden som jag för min del icke gillar. Det är det enda af hvad hittills varit före i dag, som verkligen kan jämföras med de bojkottmeddelanden, som jag citerat.</w:t>
        <w:br/>
        <w:br/>
        <w:t>Vidare måste man, när det är fråga om statsmakternas ingripande, noga skilja mellan de sätt, på hvilka meddelandena komma fram. Ett cirkulär, utsändt till en organisations egna medlemmar, undandrager sig statsmakternas ingripande eller, rättare sagdt, statsmakternas ingripande i detta fall sammanhänger med en reglering af arbetsaftalet och med striderna mellan arbetsgifvare och arbetstagare. Men när staten fastställt hvad som skall menas med missbruk af tryckfriheten och sålunda förklarat, att den tillåter hvad som icke strider mot sagda bestämmelser, och när det visar sig, att upprepade och upprörande förföljelser riktas mot vissa personer i en omfattning, som är häpnadsväckande stor, när staten som sagdt förut bestämt, att så och så icke får tryckas, icke spridas i tryck, förefaller det mig, som om fråga om ändring af tryckfrihetsförordningen blir en sak för sig, som kan behandlas helt skild från aftalsfrågan. Statsmakterna äga fullkomlig skyldighet att ingripa.</w:t>
        <w:br/>
        <w:br/>
        <w:t>Man har äfven sagt, att, om arbetsgifvarföreningarna skulle förfölja en arbetare, detta är precis detsamma som om arbetarne skulle förfölja en arbetsgifvare. Men detta är heller icke sant, därför att de fackorganiserade arbetarne äro långt flera än antalet arbetare hos de sammanslutna arbetsgifvarne. Om sålunda arbetarne vilja använda sin makt, är denna större än arbetsgifvarnes.</w:t>
        <w:br/>
        <w:br/>
        <w:t>Jag ber sålunda att få fastslå, att hvad det här är fråga om icke är att reda upp hela den sociala striden, utan endast att i första rummet förhindra de upprörande förföljelser, som ske från de organiserade arbetarnes sida emot icke organiserade eller annorledes organiserade. Det är ett frihetsförtryck af den art och beskaffenhet, att samhället enligt min och mångas uppfattning måste reagera och inskrida.</w:t>
        <w:br/>
        <w:br/>
        <w:t>Under debatten utanför Riksdagen har mycket talats om den utländska lagstiftningen i hithörande frågor. När ingen af dem, som yrkat afslag på utskottets kläm, har berört denna sak, vill äfven jag skjuta detta åt sidan och endast påpeka, att det i Danmark är förbjudet att i tidningarna intaga strejkbrytarmeddelanden.</w:t>
        <w:br/>
        <w:br/>
        <w:t>Vi ha sålunda i ett grannland ett lagstadgande, som vid domstolarna användes för att hindra detta upprörande användande af tryckfriheten.</w:t>
        <w:br/>
        <w:br/>
        <w:t>För själfva frågans bedömande har man att skilja mellan en lämplig formulering af en eventuell lagtext och hufvudfrågan, om det anmärkta förhållandet är så upprörande, att ett ingripande af statsmakterna är berättigadt.</w:t>
        <w:br/>
        <w:br/>
        <w:t>Vid formuleringen af ett tillägg till en lag bör naturligtvis hänsyn tagas till öfriga bestämmelsers allmänna form och uttryckssätt. Så är det naturligtvis äfven i fråga om tryckfrihetsförordningen. Gå vi till denna, finna vi en så allmänt hållen formulering af 3 8, där missbruk af tryckfriheten behandlas, att afsikten från början synes ha varit, att en sund praxis borde verka i någon mån preciserande. Detta framgår för öfrigt af ingressen till paragrafen, 1 hvilken anges en alldeles bestämd norm för tolkningen af följande paragrafer, som i mycket hög grad upphäfver vådan af en allmän formulering. Bland missbruk af trycktriheten omnämnas förnekelse af en Gud och ett lif efter detta; smädliga uttryck om rikets ämbetsoch tjänstemän i och för ämbetet; lögnaktiga uppgifter eller vrängda framställningar till allmänhetens förvillande etc. Skulle alla dessa bestämmelser tillämpas efter sin ordalydelse, skulle det oafbrutet bli åtal och beifrande, men just på grund af ingressen och därför att praxis kompletterat bestämmelserna, ha paragrafernas uttydning och användande blifvit helt andra än hvad den första formuleringen ger vid handen.</w:t>
        <w:br/>
        <w:br/>
        <w:t>I detta sammanhang bör man se den form, som jag tillåtit mig gifva grundlagstexten i min motion. Vid de anmärkningar, som riktats mot densamma, synes man hafva förbisett, att det kan vara mera betryggande att hafva en vid formulering, som kompletteras af en sund praxis, än en stram formulering, som man mera blindt måste följa. Nu har utskottet i alla händelser gifvit en annan form åt lagtexten, och det är alldeles klart, att jag med uttalande af min tacksamhet för den välvilliga behandling, som kommit min motion till del från utskottets sida, kommer att utan tvekan tillstyrka bifall till denna formulering. Men jag vill dock i förbigående anmärka, att det synes vara en principiell olägenhet, att uttrycket »enskild person» skjutits fram på det sätt, att förföljelse mot bolags tillverkning icke kan beifras. Jag anser dock, att denna formulering innebär en så oerhörd förbättring i det rättslösa tillstånd, som nu härskar, att jag, som sagdt, utan tvekan kommer att yrka bifall till densamma, och jag skulle anse, att man kommit ett godt stycke på väg och att mycket blifvit uträttadt, om detta tillägg till tryckfrihetsförordningen kunde blifva grundlag.</w:t>
        <w:br/>
        <w:br/>
        <w:t>Hufvudfrågan blir då, om saken verkligen är af den natur, att statsmakternas ingripande genom grundlags supplerande verkligen är af nöden. Jag tänker, att de fiesta af kammarens medlemmar, som läst den exempelsamling jag lämnat i min motion, kunna erkänna,</w:t>
        <w:br/>
        <w:br/>
        <w:t>att här är något upprörande, och jag tror, att kammarens ledamöter hafva svårt att i det föregående anförandet och de exempel, som där gifvits på arbetsgifvares tillvägagångssätt, kunna upptäcka något motsvarande. Jag tillåter mig nu i någon mån komplettera hvad jag lagt fram i motionen genom att anföra några exempel från några af de senaste åren, och eftersom det var herr Lindblad, som mest talade om att arbetsgifvarnes tillvägagångssätt vore minst lika upprörande som arbetarnes, så ber jag att få välja ett första exempel ur hans egen tidning.</w:t>
        <w:br/>
        <w:br/>
        <w:t xml:space="preserve">Med anledning däraf att en tysk bagaregesäll, som fått benämningen strejkbrytare, förlofvat sig med en svensk </w:t>
      </w:r>
      <w:r>
        <w:rPr>
          <w:b/>
        </w:rPr>
        <w:t>flicka²</w:t>
      </w:r>
      <w:r>
        <w:rPr>
          <w:b w:val="0"/>
        </w:rPr>
        <w:t xml:space="preserve">, stod härom året under rubriken »strejkbrytarekärlek» bland annat följande: &gt;När bröllopet skall stånda, lär emellertid bero på högre makter, men om och när det äkta förbundet slutes, så äro vi dock rädda för att alla präster i världen och alla böner äro otillräckliga för att göra afkomman äkta.&gt; Hvad skall man säga om ett så rått utfall mot en person, därför att denne fått strejkbrytarenamnet? Lika råa uttalanden finner man till exempel i tidningen Arbetet för 1907, där sådana rubriker finnas som »De svenska lössen å Råbelöv», »Den gula ohyran i Göingetrakten&gt; etc., där det talas om den »osnutna spolingen», som uppträdde och talade på ett möte, och där man i mängd finner liknande uttryck och utfall! En person i Skåne, som jag väl känner, har gjort en utredning om huru många meddelanden 1 den här vägen, som förekommit i tidningen Arbetet under år 1907, och huru många personer, firmor och gårdar, som blifvit direkt angripna i detta pressorgan. Innan jag nämner siffrorna, ber jag att få påpeka, att man detta år och i denna tidning, åtminstone mera än jag sett förut, farit fram med en benämning, som skulle vara detsamma som »hedersman&gt; eller strejkbrytare; jag menar »Judasmän», det talas om »kamrater i Judasdräkt», att den och den upp: träder som Judas; oupphörligen likställes en arbetare, som icke vill inrangera sig i en socialistisk förening, med den af lärjungarne som förrådde Kristus. — Här är ett litet exempel, som är rätt belysande, huru långt det verkligen kan gå. En insamling gjordes för vissa arbetare; i en notis i Arbetet säges, att </w:t>
      </w:r>
      <w:r>
        <w:rPr>
          <w:b/>
        </w:rPr>
        <w:t>kvinnoklubben¹</w:t>
      </w:r>
      <w:r>
        <w:rPr>
          <w:b w:val="0"/>
        </w:rPr>
        <w:t xml:space="preserve"> vid Höganäs äfven satt i gång en sådan, och hade någon af dess medlemmar varit ute och besökt handlande och andra. »En skräddare och en hökare hade emellertid ingenting att ge sådana som Kennedys utkastade medaljörer. Förmodligen tyckte de det vara oförskämdt af de utkastade, att de vågat organisera sig. Men tänk om arbetarne i Höganäs, som till fullo äro solidariska med de utkastade, skulle ta sig för att icke göra sina köp hos dylika personer! Ja då kunde det hända, att de icke blefve så värst feta.» Det vill säga, att, om en handlande icke vill lämna penningar vid en socialistisk insamling, så hotas hans affär att bli bojkottad!</w:t>
        <w:br/>
        <w:br/>
        <w:t>Jag vill icke stanna längre vid dessa exempel. De siffror, som jag här nämner, gälla nu som sagdt en enda tidning, ett enda år.</w:t>
        <w:br/>
        <w:br/>
        <w:t>Lördagen den 23 Maj, e. m. 71 Blockad och bojkottmeddelanden gällde 250 personer, strejkmeddelanden gällde 150, inpiskningsmeddelanden gällde 249; 44 afböner voro införda och 431 personer offentliggjorda till namnet, därför att de ej ville erlägga afgifter. Det gör en summa af 1,124 personer (eller gårdar), som angifvits i rent förföljelsesyfte, i rent trakasserisyfte i en enda socialdemokratisk tidning under ett enda år! Jag undrar, om efter återgifvande af dessa siffror någon af de följande socialdemokratiska talarne kan påstå, att det hela icke är något så farligt, något som icke äger så stor utsträckning, och att arbetsgifvarne göra precis på samma sätt?</w:t>
        <w:br/>
        <w:br/>
        <w:t>Jag har här ett annat exempel, hämtadt från annat håll och rätt belysande för hur långt en sak kan drifvas. Här var för några år sedan en typograf, som under konflikter arbetade i Östersund och Oskarshamn. Han förfördelades i en tidning, och jag tror, att han åtalade denna och fick rätt första gången. Säkert är, att han vid ett följande tillfälle väckte åtal, dock utan att det blef någon fällande dom. Men detta åtal åsamkade i alla händelser den socialistiska facktidningen vissa utgifter, och därefter blef personen i fråga förjagad från det ena tryckeriet efter det andra och tvangs till sist komma in med en afbön. Den är hållen ungefär som de öfriga. Det heter efter afbönens återgifvande: »Ofvanstående afbön har inkommit från herr Joh. Hedlund, med begäran om dess publicerande i Svensk Typograftidning. Naturligtvis vilja vi lika litet förmena herr H. den tjänsten att genom förbundsorganet få till medlemmarna frambära sin anhållan om tillgift&gt; ete. Så följer ett meddelande, att H. icke kan få inträde i förbundet, »såvida han icke dessförinnan, i första hand genom att betala de kostnader han åsamkat förbundet genom sitt tryckfrihetsåtal, tydligt ådagalagt, att han ångrar sitt forna uppträdande gentemot förbundet». Vid detta tillfälle lära kostnaderna hafva rört sig omkring ett par hundra kronor. På grund af senare förhandlingar har detta belopp nedsatts till 102 kronor. Denne man jagades således från tryckeri till tryckeri, han jagades till Finland och tillbaka igen, han kan således ej skaffa sig någon förtjänst inom sitt yrke, och det åligger honom dock att, innan han får arbeta, betala dessa 102 kronor. Huru skall han då förtjäna ihop dessa 102 kronor? Men icke nog med detta, här har varit ett åtal mot en tidning för något omdöme om mannen i fråga. Följden har blifvit vissa rättegångskostnader för tidningen. Det finnes icke någon dom, att mannen skall betala dessa rättegångskostnader. Här, liksom i så många andra fall, sätter sig fackförbundet och fackföreningen som landets högsta domstol och kräfva af denne man, för att han skall få arbeta i sitt yrke, att han skall betala de rättegångskostnader, som laga domstol ansett, att han icke behöfver betala.</w:t>
        <w:br/>
        <w:br/>
        <w:t>Här är ett sista exempel jag har, som visar den utvecklingsväg, som är beträdd och på hvilken det är alldeles gifvet att man kommer att fortgå, och som jämväl visar, enligt min tanke, att det</w:t>
        <w:br/>
        <w:br/>
        <w:t>är hög tid, att samhället uttalar på ett verkligen kraftigt sätt sitt ogillande af all dylik trafik. Det är ett blockadmeddelande, enligt hvilket torplägenheter å Trolle-Ljungby i Skåne förklaras blockerade och enhvar, som öfvertager ett torp, hotas med trakasserier.</w:t>
        <w:br/>
        <w:br/>
        <w:t>Detta torde vara första gången, som torplägenheter förklarats vara blockerade. Om man nu får fortsätta på den vägen, så är det alldeles klart, att nästa åtgärd blir att tidningarna namngifva de personer, som våga taga torp, som socialistiska fackföreningar förklarat vara blockerade. Här gäller, om Sveriges landtbrukare skola tillerkänna de socialdemokratiska fackförbunden att bestämma, hvilka som skola äga att öfvertaga ett torp. Här gäller det att vidtaga en åtgärd, som i någon mån kan hejda förföljelsen af så kallade strejkoch blockadbrytare, innan det är för sent, innan det onda innästlat sig öfver allt på Sveriges landsbygd. Jag undrar, om Sveriges landtbrukare icke kunna få något att tänka på med anledning af detta första blockadmeddelande.</w:t>
        <w:br/>
        <w:br/>
        <w:t>Här har talats i dag mycket om att de sociala striderna föras mellan två parter, mellan arbetstagarne och arbetsgifvarne, och det är alldeles klart, att så är fallet. Men här finnes en tredje makt, som har ett stort, ett mycket stort intresse af, under hvilka former och på hvad sätt striden föres: jag menar samhället. Samhället måste tillse, att dessa former icke blifva af det slag, att rättskränkningar oafbrutet ske. Det gäller här, om staten verkligen skall vara och erkännas som en rättsstat. Det gäller här, om staten skall kunna skydda den enskilde i hans fria utöfning af yrke eller näring och värna honom gentemot kamraters förföljelse. Ja, sade herr Beckman, allt detta kan behöfvas, det kanske behöfs en lagstiftning, men vi skola vänta till dess vi få en oantastlig lag. Jag undrar, om kammarens medlemmar någonsin sett en oantastlig lag. Det finnes väl alltid några, som skulle anse lagen dåligt eller illa formulerad, i främsta rummet de, hvilkas handlingar skulle åtkommas genom den lagen. Denna lag — det har sagts här i kväll — skulle ute i landet verka jäsning och bli till mycken skada; den skulle så småningom medföra missämja, missnöje. Ja, men alla dessa förföljda, alla dessa personer, som årligen förföljas, skola vi icke ta hänsyn till dem? När det gäller rättskränkningar, hvilket bör man mest ta hänsyn till: misstämningen hos den, som förföljer, eller hos den, som förföljes? Vill staten göra rätt, då får den sannerligen ta mera hänsyn till den förföljdes misstämning, därför att den är af den art, att statens ingripande blir påkräfdt och berättigadt.</w:t>
        <w:br/>
        <w:br/>
        <w:t>Här har också talats om pressens uppgifter, det har uttalats förvåning öfver att en pressman kunnat föreslå förändring i tryckfrihetsförordningen. Därpå vill jag helt kort svara, att dessa meddelanden förefalla mig vara en skamfläck för den svenska pressen, och att det ur den svenska pressens synpunkt är ytterligt önskvärdt, att de försvinna ur den socialdemokratiska pressen, där de frodas.</w:t>
        <w:br/>
        <w:br/>
        <w:t>På dessa skäl, herr talman, och med hänsyn till att det är tusentals personer, som årligen utsättas för förföljelse i detta land, en förföljelse som blir effektiv och kraftig, därför att dessa meddelanden insättas i tidningar, och med hänsyn till att det måste ur pressens synpunkt, ur synpunkten af en verklig tryckfrihets värnande vara af vikt att få bort dessa meddelanden, tillåter jag mig här att yrka bifall till utskottets hemställan.</w:t>
      </w:r>
    </w:p>
    <w:p>
      <w:pPr>
        <w:pStyle w:val="Heading2"/>
      </w:pPr>
      <w:r>
        <w:t>2. Erik Leksell (Socialdemokraterna, man)</w:t>
      </w:r>
    </w:p>
    <w:p>
      <w:r>
        <w:rPr>
          <w:b w:val="0"/>
        </w:rPr>
        <w:t>Herr talman, mina herrar! Då herr Hildebrand 1 början af sin motion, såsom vi finna å sid. 2 i utskottsutlåtandet, talar om den sociala utvecklingen — hvilken han framhåller såsom en påskyndad sådan — säger han, att det är »ofantligt svårt att låta lagstiftningsarbetet följa den oaflåtliga förskjutningen i tänkesätt och rättsuppfattning.&gt; Ja, mina herrar, det har det alltid varit för den reaktionäre, hvars valspråk är: »Det är bra som det är»; men enligt mitt sätt att se saken, bör man låta utvecklingen vara sådan och se till, att frukterna af densamma må få taga fasta former och blifva till grund för samhällsbyggnaden. I samma stycke heter det: »Alltefter som de nya sociala motsättningarna taga fastare former, blir det emellertid både viktigare och lättare att skrifva ny lag eller ändra gammal. Skulle man underlåta att i tid taga itu härmed, kan bristen på öfverensstämmelse mellan lag och rättsuppfattning verka mycket ondt genom att gifva lifskraft åt samhällsupplösande tendenser eller mot rättens väsen stridande åskådningar och handlingar.»</w:t>
        <w:br/>
        <w:br/>
        <w:t>Af det redan sagda och af det i motionen följande framgår tydligt, hvad som åsyftas. Det är den socialistiska tendensen, som motionären kallar för »samhällsupplösande». Det vill omskrifvet säga: samhället tål ej några reformer framåt i socialistisk anda; sådant måste med hvilka som helst medel förhindras.</w:t>
        <w:br/>
        <w:br/>
        <w:t>Jag tror också, att åtskilliga i det nuvarande samhällsskicket skulle få göra eftergifter, om all vår lag vore tidsenlig — för så vidt nämligen det är någon mening uti motionärens förordande af att skrifva nya lagar, som äro tidsenliga, och omskrifva gamla, så att de motsvara tidsandan.</w:t>
        <w:br/>
        <w:br/>
        <w:t>Att det är socialdemokraterna herr Hildebrand vill komma till lifs, det låter han förstå utan omsvep. Det är kanhända det enda klara i motionen. Lösen är: hindra utvecklingen i socialistisk anda. &gt;Tag itu härmed&gt;, heter det. Ja, mina herrar, däm för en alltjämt frambrusande flod; hvad blir följden? Det säger oss vårt förnuft: fördämningar, som ej äga nog fast grund, måste gifva vika förr eller senare. |</w:t>
        <w:br/>
        <w:br/>
        <w:t>På tal om hvad motionären vill ha upphöjdt till lag, så tillåt mig, herr talman, att citera något ur en artikel i Svenska Dag-</w:t>
        <w:br/>
        <w:br/>
        <w:t>bladet, hvilken tidning dock ej kan anses vara en socialistisk tidning, uti dess nummer 59 för den 1 mars detta år. Där heter det: »Och tryckfrihetslagens ändamål är ytterst att vara ett värn om de medborgerliga rättigheterna. Med hvarje år som går vidgas ramen för dessa, och åtskilligt af det som för en mansålder sedan ansågs tillhöra privatlifvets fridlysta område faller nu under offentlighetens domvärjo. Nya gebiet läggas genom sambhällslifvets utveckling under den lagstiftande maktens direkta omvårdnad, och det, som var en enskild angelägenhet i går, blir en allmän i morgon. Rundt om se vi, huru de enskilda krafterna sammansluta sig, och äfven om det ser ut som om det härvidlag gällde icke det helas väl, ha vi dock ej endast rätt utan äfven skyldighet till den optimistiska uppfattningen att detta därigenom blir främjadt. Statens yppersta uppgift är ju att bereda den största möjliga lycka och rätt åt det största möjliga antal, och de metoder, som anlitas efter receptet enighet ger styrka, böra icke kunna betraktas såsom för den saken hinderliga.»</w:t>
        <w:br/>
        <w:br/>
        <w:t>Längre ner i samma artikel säger tidningen: »Vid denna riksdag har herr Hildebrand sålunda väckt en motion, som vill drabba en misshaglig yttring af klasskampen, men som, i den händelse den vinner statsmakternas bifall, endast skall undandraga densamma offentlighetens ljus och flytta den in i skymningen» o. s. v. Så långt tidningen; och den kritik, som härmed ges af lagen, finner jag högst beaktansvärd.</w:t>
        <w:br/>
        <w:br/>
        <w:t>Motionären använder icke mindre än 24, säger tjugufyra, sidor i sin motion till hvad som enligt mitt tycke endast föreställer en uppslagsbok öfver åtskilligt hvad fackföreningarna sysslat med på några år. Men är denna uppslagsbok ändå ej åtskilligt ensidig, därför att den klargör endast den ena partens åtgöranden i den sociala striden?</w:t>
        <w:br/>
        <w:br/>
        <w:t>Längre fram yttrar motionären, på sid. 27 i utlåtandet: »Jag trotsar hvem som helst att kunna bestrida, att den socialdemokratiska makten inom vårt samhälle i ofantligt hög grad är grundad på våld eller hot, d. v. s. på ett tvång, som söker upphäfva och verkligen i många fall upphäfver individernas fria bestämmanderätt i viktiga stycken. I vissa meddelanden låter det mäkta oskyldigt, detta tal om organisationens betydelse, men där bakom ligger det faktum, att enhvar, som ansluter sig till en af landsorganisationens fackföreningar, som genom majoritetsbeslut anslutit sig till en arbetarekommun, i och med detsamma inträder i det politiska socialdemokratiska partiet. Ett sådant tvång, som det här är fråga om, vore alldeles förkastligt, äfven om det blott gällde inträde i yrkesorganisationerna, men dubbelt fördömligt blir det, då personer tillika tvingas tillhöra ett visst politiskt parti. Detta blir ännu mer upprörande därigenom, att — trots alla bedyranden i motsatt riktning — den socialdemokratiska arbetarrörelsen i allmänhet uppträder religionsfientligt eller öppet tolererar den religiösa känslans och</w:t>
        <w:br/>
        <w:br/>
        <w:t>Lördagen den 23 Maj, e. m. 75 trons förhånande, något som måste göra medlemskap ytterligt svårt för en religiös arbetare.»</w:t>
        <w:br/>
        <w:br/>
        <w:t>Ett uttryck är riktigt: »den socialdemokratiska makten inom vårt samhälle.&gt; Ja, det har blifvit en makt, därom må vi vara öfverens, en makt, som nog ej herr Hildebrand och hans liktänkande kunna hindra eller stäcka. Men när motionären säger, att den bygger på hot, våld och tvång, som han icke på villkor kan tolerera, så förbigår han med tystnad helt och hållet, att det har hotats, tvingats, utkastats, långt innan det fanns någon socialdemokrati, och att det ännu så göres, men från en annan makt, från kapitalet, ifall en arbetare ej underkastar sig dess påbud.</w:t>
        <w:br/>
        <w:br/>
        <w:t>Hvad som synes motionären mest upprörande är, att den socialdemokratiska arbetarerörelsen uppträder &gt;religionsfientlig». Saken är ju den, att den socialdemokratiska arbetarerörelsen ej är ett religiöst parti, men väl ett politiskt sådant, och att bland den massa människor, som tillhöra detta parti, de finnas, hvilka i mer eller mindre mån ställa sig skeptiska till religionen. Det tycker jag skulle mindre</w:t>
        <w:br/>
        <w:br/>
        <w:t>förvåna motionären, om han med öppen blick — och opartiskhet framför allt — bedömde de olika företeelserna inom mänskligheten.</w:t>
        <w:br/>
        <w:br/>
        <w:t>Tillåt mig att fråga, herr Hildebrand: hvad är det för ett parti i denna kammare, hvars medlemmar äro, hvarje man, sanna religionsförsvarare, då det gäller att försvara och älska religionen för dess egen skull? Gör månne herr Hildebrand själf anspråk på att besjälas af religiösa känslor uti allt sitt görande och låtande både som politiker, tidningsman och människa? Jag kan ej hjälpa, att jag måste säga det; men mig förefaller det, som om hans tal om religion i detta sammanhang rätt illa dolde mycket världsliga partisyften. Och i det afseendet är herr Hildebrand ej ensam i denna värld, ej ens i denna kammare. |</w:t>
        <w:br/>
        <w:br/>
        <w:t>Nu-är i alla fall socialdemokratiska partiet ett parti, som, utan att skylta med religiösa färger i skölden, arbetar för människorätt åt alla. Det är nog största skälet till att partiet från vissa båll blir ansedt för religionsfientligt. Härtill kan läggas en fråga: De icke-organiserade, som ju synas vara herr Hildebrands skyddslingar, är månne bland dem den verkliga religiositeten alltid så äkta? Och finns icke äfven bland dem, om man ser närmare efter, personer, som, för att tala med herr Hildebrand, »öppet tolerera den religiösa känslans och trons förhånande»? Mig förefaller det, att motionären nog rätt litet känner till, hur pass mycket af religion det finnes mera hos de icke-organiserade, icke-solidariska, än hos de organiserade.</w:t>
        <w:br/>
        <w:br/>
        <w:t>Då jag nu begärt ordet i denna fråga, så är det ej för att på något sätt vilja framstå såsom de där hålla vackra tal, utan det är för att i denna kammare det må höjas en röst ur de djupa leden, en röst från den klass, som med förkärlek från ett visst håll kallas &gt;underklassen», det är den kroppsarbetande klassen, till hvilken</w:t>
        <w:br/>
        <w:br/>
        <w:t>jag hör, från hvilken jag har uppdraget att här hafva stämma och säte, och hvars talan jag för. Och då är det alldeles klart, att det ej ens kan komma 1 fråga, att mitt tal kan smyckas med någon akademisk klang.</w:t>
        <w:br/>
        <w:br/>
        <w:t>Men, mina herrar, hafva vi arbetare ej fått så mycket i boklärdom, ej fått så mycket med af frukterna från kunskapens träd, att vi kunna orera så fint, så hafva vi dock hos oss, jag säger det från denna plats, vi hafva hos oss något, som säger oss, att vi äro människor, och följaktligen fordra vi mänskliga rättigheter. Men nu är det dessa rättigheter, som det, trots allt vackert tal om att man bara vill åt vissa utväxter, ändå tydligt är meningen att kringskära. BSjälfva hafva vi så småningom höjt oss, genom vår solidaritet, så att vi blifvit något att räkna med — jag åsyftar den där makten herr Hildebrand talar om — men det är just detta, som blifvit en nagel i ögat på de herrar, som själfva vilja sitta inne med all makt. Men den satsen är klar för mig, att andel i makten böra vi alla ha.</w:t>
        <w:br/>
        <w:br/>
        <w:t>Tro herrarna, att det numera skall lyckas att inpränta i våra hjärnor, att vi uti alla stycken skola underordna oss dem, som sitta på samhällsskalans höjd, desse, som vilja söndra för att härska? Nej, det hör till den svunna medeltiden. Jag lärde i min barndom uti katekesen bland annat, »att vi skola älska våra herrar&gt;; men det gifves tillfällen i lifvet, då det är svårt att respektera, än mindre att älska.</w:t>
        <w:br/>
        <w:br/>
        <w:t>Hvad tro herrarna det är som gjort, att vi arbetare hafva sammanslutit oss? Ar det rena okynnet, är det månne för att föra opposition i onödan? Hafva vi suttit, och sitta vi alltfort, vid fyllda köttgrytor? Hafva vi ej giltig orsak att själfva föra vår talan till torgs? Det är ett fåtal i denna kammare, som veta hvad det vill säga att arbeta för en ringa dagspenning och sedan dela denna med en ofta stor familj till allt hvad den behöfver för att kunna lefva. Står det skrifvet någonstädes, att den ena människan har monopol på större rätt till jordens resurser än den andra? När jag blir öfverbevisad om den saken, då skall jag tro det, men inte förr.</w:t>
        <w:br/>
        <w:br/>
        <w:t>Nu är syftet med denna lag i alla fall att försvaga möjligheterna för oss arbetare att hålla oss samlade i den ekonomiska kampen. Vi få icke utpeka en motståndare, en som sviker oss; det kallas för »förföljelse» och skall straffas.</w:t>
        <w:br/>
        <w:br/>
        <w:t>Tro herrarna, att ett land, där lagstiftningen går i sådan riktning som denna, att det landet blir ett lyckligt land? Hvari består månne ett lands både lycka och styrka? Är det däruti, att det har lagar som drabba en särskild klass af medborgare, och detta just den svagare klassen, under det att de af medborgarne, som äro starkt ekonomiskt situerade, skola under alla omständigheter skyddas? År det på det sättet det bevingade ordet »nationell samling» skall komma till sin rätt? 'År det på den vägen fosterlandskärleken</w:t>
        <w:br/>
        <w:br/>
        <w:t>stärkes hos massan af folket? Enligt min mening verkar det raka motsatsen, därom vittnar min egen själfkännedom.</w:t>
        <w:br/>
        <w:br/>
        <w:t>Historien lär oss, att det funnits tider, då herreklassen förde godtycklighetens spira. Då gällde det blott att ha ett namn med anor eller också att med mer eller mindre tvetydiga medel förskaffa sig ställning och rang. Då var det för desse herrar att regera som de för godt funno, då var husagan helig och spöpålen laglig. Men, mina herrar, historien har flera sägner att förtälja. Den säger oss också, att detta land, hvars lagar vi nu äro i färd med att ändra, att detta land, som sett oss födas och hvars innebyggare vi alla äro, att detta land har haft strider att utkämpa mot förtryckare af olika slag.</w:t>
        <w:br/>
        <w:br/>
        <w:t>Natur och omständigheter hafva danat den svenske medborgaren till flegmatiker; men den mest sansade och lugna människa kan bringas ur fattningen; och jag säger bestämdt ifrån, att jag ej uttalar det som ett hot, men väl som en varning: tryck inte till för hårdt, spänn ej bågen för högt, drag inte till knuten, så att bandet brister! Vi äro barn af samma folk, som, när trycket, utländskt eller inhemskt, blifvit för starkt, gjort slut på förtryckarregementet; och vi hafva väl icke alldeles vansläktats ifrån förfäderna.</w:t>
        <w:br/>
        <w:br/>
        <w:t>Den gamla frihet, vi äga, är vår dyrbaraste egendom, eller kanhända rättast, vår enda egendom; och då må det ej förvåna herrarna, om vi vilja värna densamma, icke minst tryckfriheten, som här skulle få en farlig remna.</w:t>
        <w:br/>
        <w:br/>
        <w:t>Jag får be, herr talman, att till det nu af mig sagda, få tilllägga något ur en dikt af en af våra skalder, just med afseende å tryckfriheten:</w:t>
        <w:br/>
        <w:br/>
        <w:t>»Men vårt land är icke marken bara, Eller språket, som vi lärt så flinkt; Det är tanken ock, den svenska, klara, Och vårt frihetsarf, vår själs instinkt, Och vår goda rätt att öfverväga</w:t>
        <w:br/>
        <w:br/>
        <w:t>Hvad oss höfves, öppet, oinskränkt, För att se'n vår trygga mening säga Åt all världen fritt och oförkränkt.</w:t>
        <w:br/>
        <w:br/>
        <w:t>Därför ve den hand, som afskär tungan På det folk, som en gång haft en röst; Ve den, som med afsikt sårar lungan I offentlighetens breda bröst.</w:t>
        <w:br/>
        <w:br/>
        <w:t>Det är godt att lägga tyngd i slaget, Om man har en klinga i sin hand; Annu mer att ha ett ord i laget</w:t>
        <w:br/>
        <w:br/>
        <w:t>En gång, när det gäller folk och land.</w:t>
        <w:br/>
        <w:br/>
        <w:t>Skänk ej bort det, Sverige, som en penning, Skär ej heller bort det som en böld.</w:t>
        <w:br/>
        <w:br/>
        <w:t>Hvad ditt öde än tar för en vändning,</w:t>
        <w:br/>
        <w:br/>
        <w:t>Blir det för din barm en ädel sköld.</w:t>
        <w:br/>
        <w:br/>
        <w:t>Håll dess kopparrundel mot de djärfva,</w:t>
        <w:br/>
        <w:br/>
        <w:t>Som mot friheten begå en stöld,</w:t>
        <w:br/>
        <w:br/>
        <w:t>Håll den högt i luften, som Minerva</w:t>
        <w:br/>
        <w:br/>
        <w:t>På grund af hvad jag sålunda anfört, herr talman, tillåter jag mig att yrka afslag å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