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1120</w:t>
      </w:r>
    </w:p>
    <w:p>
      <w:r>
        <w:rPr>
          <w:b/>
        </w:rPr>
        <w:t xml:space="preserve">Datum: </w:t>
      </w:r>
      <w:r>
        <w:t>1909-05-16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Röing (Liberala samlingspartiet, man)</w:t>
      </w:r>
    </w:p>
    <w:p>
      <w:r>
        <w:rPr>
          <w:b w:val="0"/>
        </w:rPr>
        <w:t>Herr talman, mina herrarl turkåren Visserligen har statsutskottet afstyrkt min motion i föreliggande = ”. Mm. punkt, men å andra sidan uti sin motivering i hufvudsak ställt sig på samma ståndpunkt, som jag förfäktat i motionen. Jag kan icke annat än vara statsutskottet synnerligen tacksam för detta. Enligt kungl. brefvet af den 26 januari 1904 tillkommer det dessa vaktmästare efter uppnådda 60 lefnadsår en pension af 124 kronor. Statsutskottet anser, i likhet med mig såsom motionär, att detta belopp är alldeles för lågt, men statsutskottet har icke velat tillstyrka min motion därför, att frågan om en ökad pension är under utredning. Jag har kännedom om denna utredning och jag har äfven framhållit det i min motion. Men anledningen hvarför jag, trots att denna utredning pågick, föreslog, att dessa två vaktmästare skulle provisoriskt erhålla en pension af 500 kronor, var den, att enligt svensk författningssamling för år 1904, bihang n:o 19, dessa vaktmästare ägde rätt att kvarstå i tjänst endast till fyllda 65 år. Nu säger emellertid statsutskottet, att dessa två vaktmästare möjligen skulle kunna</w:t>
        <w:br/>
        <w:br/>
        <w:t xml:space="preserve">Om höjda bibehållas i tjänst efter uppnådda 65 år och att dessa vaktbelopp för mästare böra komma i åtnjutande af den förhöjda pension, som vaktmästurne för ifrågavarande personal kan blifva bestämd. Jag hoppas, att, vid intenden- När denna fråga förekommer till afgörande inom regeringen, turkåren herr statsrådet och chefen för landtförsvarsdepartementet tager mom hänsyn till detta statsutskottets uttalande. Jag vill samtidigt (Forts.) — uttala den förhoppning, att den utredning, som pågår rörande såväl dessa vaktmästares löneförmåner som deras pensionsförhållanden, snarast möjligt måtte bli färdig, och att man till en annan riksdag har anledning att hoppas på en kungl. proposition i ämnet. Skulle utredningen visa, att dessa vaktmästares pensionsfråga bör lösas på sådant sätt, att tillfälle beredesg dem, liksom andra liknande befattningsinnehafvare, att vinna inträde i arméns pensionssamt </w:t>
      </w:r>
      <w:r>
        <w:rPr>
          <w:b/>
        </w:rPr>
        <w:t>änkeoch²</w:t>
      </w:r>
      <w:r>
        <w:rPr>
          <w:b w:val="0"/>
        </w:rPr>
        <w:t xml:space="preserve"> pupillkassa, ber jag att få uttala såsom ett önskemål, att det äger rum efter samma proportion som för</w:t>
        <w:br/>
        <w:br/>
        <w:t>Herr talman! Jag har intet yrkande att göra.</w:t>
      </w:r>
    </w:p>
    <w:p>
      <w:pPr>
        <w:pStyle w:val="Heading2"/>
      </w:pPr>
      <w:r>
        <w:t>2. Magnus Sundström (Liberala samlingspartiet, man)</w:t>
      </w:r>
    </w:p>
    <w:p>
      <w:r>
        <w:rPr>
          <w:b w:val="0"/>
        </w:rPr>
        <w:t>Herr talman, mina herrar! Jag har genom denna min motion tillåtit mig att under kammarens ompröfning draga ett ärende, som visserligen icke är af någon större och vidtomfattande natur, men som icke desto mindre är ytterst behjärtansvärdt. Det gäller nämligen att lätta utsikterna till pensions erhållande för en del af vår folkskolas lärarepersonal.</w:t>
        <w:br/>
        <w:br/>
        <w:t>Enligt bestämmelserna i den nya stat, som bestämdes vid den sista löneregleringen för folkskolans lärarpersonal, äro tjänsteinnehafvarne skyldiga att afgå ur tjänsten vid 60 års ålder. Under vanliga och normala förhållanden böra de stadgade 30 tjänståren vid den tiden vara för alla uppnådda. Seminariestadgan föreskrifver nämligen, att inträde vid seminarium ej kan erhållas senare än vid 26 års ålder. Då kursen är fyraårig, kan således tjänståren börja vid 30 år och vara uppnådda vid 60 år.</w:t>
        <w:br/>
        <w:br/>
        <w:t>Men nu gifver stadgarna rörande seminarierna anledning till undantag från denna regel uti två fall, såsom jag uti motionen</w:t>
        <w:br/>
        <w:br/>
        <w:t xml:space="preserve">påpekat. Dels kan en lärare eller </w:t>
      </w:r>
      <w:r>
        <w:rPr>
          <w:b/>
        </w:rPr>
        <w:t>lärarinna³</w:t>
      </w:r>
      <w:r>
        <w:rPr>
          <w:b w:val="0"/>
        </w:rPr>
        <w:t xml:space="preserve">, som under flera år Ang. ändring med goda vitsord tjänstgjort på eget ansvar vid småskola eller är folkskolfolkskola eller som på annat sätt ådagalagt synnerlig duglighet färarnet pen: för lärarekallet, antagas till elev vid seminarium äfven vid högre sionsinrälttålder än 26 år, dels kan Kungl. Maj:t gifva en sådan småskolans — ning. lärare eller </w:t>
      </w:r>
      <w:r>
        <w:rPr>
          <w:b/>
        </w:rPr>
        <w:t>lärarinna³</w:t>
      </w:r>
      <w:r>
        <w:rPr>
          <w:b w:val="0"/>
        </w:rPr>
        <w:t xml:space="preserve"> med flerårig tjänstgöring i småskola tillstånd (Forts. att utan genomgången kurs vid seminarium söka och innehafva</w:t>
        <w:br/>
        <w:br/>
        <w:t>befattning vid folkskola. I intet af dessa föreskrifna undantagsfall</w:t>
        <w:br/>
        <w:br/>
        <w:t>finnes någon viss högsta ålder föreskrifven.</w:t>
        <w:br/>
        <w:br/>
        <w:t xml:space="preserve">Men dessa undantagsstadganden måste alltid draga de olägenheterna med sig, att de lärare eller </w:t>
      </w:r>
      <w:r>
        <w:rPr>
          <w:b/>
        </w:rPr>
        <w:t>lärarinnor³</w:t>
      </w:r>
      <w:r>
        <w:rPr>
          <w:b w:val="0"/>
        </w:rPr>
        <w:t>, som medelst dem kommit in på folkskolans lärarbana, i mer eller mindre grad blifva försenade i sin tjänstårsberäkning. Jag har uti motionen omnämnt ett dylikt exempel, där en lärare vid 70 års ålder ännu har 10 år af sin tjänstgöringstid kvar, innan han är berättigad till full pension. Och detta, ehuru han kan visa tillbaka på en femtioårig verksamhet i skolans tjänst. Han erhöll nämligen inträde vid folkskolan genom dispens efter 29 års tjänstgöring vid småskolan.</w:t>
        <w:br/>
        <w:br/>
        <w:t>Sedan min motion blef bekant, har till mig ingått flera skrifvelser från lärare, som befinna sig i ungefär liknande omständigheter. Så skrifver en lärare från J ämtland: &gt;»Jag började min bana som småskollärare ej långt efter min konfirmation i Kalls fjällbygder i västra Jämtland under synnerligen svåra omständigheter och tog vid 20 års ålder småskolelärareexamen vid länsseminariet i Östersund; tjänstgjorde därefter som lärare vid mindre folkskola förenad med gosslöjd samt som vikarie vid folkskola, förenad med organistbefattning, tillsammans 10 år. 1904 tog jag folkskolläraroch organistexamen i Härnösand och lyckades redan följande år få ordinarie anställning här i Alsen. Men nu har jag ej mera än fyra (säger fyra) tjänstår och är fyrtio år gammal! Samtidigt med mig vistades vid seminariet en man från Norrbotten hvilken var ändå äldre än jag». Och denne lärare tillägger: »Då vi tillika under vår småskollärartid inbetalt vår andel i småskollärarnes pensionskassa synes rimligheten fordra, att vi antingen må återfå hvad vi dit erlagt eller ännu hellre få beräkna som tjänstår, hvad som öfverstiger fem år af vår tjänstgöring med endast småskollärarexamen&gt;.</w:t>
        <w:br/>
        <w:br/>
        <w:t>En annan lärare från Dalarne skrifver: »Från mitt 16:de till mitt 45 lefnadsår — således under 29 år — har jag tjänstgjort dels som småskollärare, dels som biträdande vikarie och extra ordinarie lärare vid flera folkskolor, tills jag den 1 juli 1901 på grund af Kungl. Maj:ts dispens erhöll fast anställning som ordinarie lärare vid Backa folkskola inom Rättviks skoldistrikt af Kopparbergs län. Jag räknar nu vid mina 53 lefnadsår alltså endast åtta tjänstår, oaktadt jag arbetat under 37 år i den</w:t>
        <w:br/>
        <w:br/>
        <w:t>allmänna undervisningens tjänst. Enligt nu gällande reglemente för folkskollärarnas pensionsinrättning erfordras således ytterligare 22 års tjänstgöring, för att jag skall komma i åtnjutande af hel pension, det vill säga först då jag uppnått 75 års ålder, hvilket torde blifva omöjligt. Alla de afgifter, jag under de många åren erlagt till småskollärarnas m. fl:s ålderdomsunderstödsanstalt, äro ju nu, så att säga, förverkade. Att häri ligger en orättvisa och följaktligen en lucka i lagstiftningen är uppenbart». Han tillägger: &gt;Jag känner ganska många lärare inom detta län, som befinna sig i samma ogynnsamma belägenhet».</w:t>
        <w:br/>
        <w:br/>
        <w:t>En tredje skrifver: »Jag har efter åtta månaders seminariekurs i Falun tjänstgjort inom småskolan fem år, såsom biträdande lärare vid folkskola tolf och ett halft år och såsom vikarierande lärare i folkskolans högre afdelning på grund af inspektörens förordnande ett och ett halft år, tillsammans nitton år. Därefter sökte jag år 1899 Kungl. Maj:ts tillstånd att få söka och innehafva folkskollärartjänst och erhöll sådant med villkor, att jag vid ett statens seminarium å tid, då afgångsexamen anställdes, äfven aflade examen. Detta gjorde jag i Uppsala 1900 och har sedan dess haft ordinarie anställning». Han tillägger: »Att fortsätta med en tjugoårig verksamhet, då man uppnått vanlig pensionsålder, är nästan otänkbart».</w:t>
        <w:br/>
        <w:br/>
        <w:t xml:space="preserve">Nu har det synts mig som om billighet borde bjuda, att det uti pensionsreglementet funnes några undantagsbestämmelser, hvarigenom dessa tjänsteinnehafvare kunde beredas pension, utan att de stadgade 30 tjänståren blifvit uppnådda. Det är dock en orättvisa, som icke kan bortresoneras, att dessa lärare och </w:t>
      </w:r>
      <w:r>
        <w:rPr>
          <w:b/>
        </w:rPr>
        <w:t>lärarinnor³</w:t>
      </w:r>
      <w:r>
        <w:rPr>
          <w:b w:val="0"/>
        </w:rPr>
        <w:t xml:space="preserve"> först skola förlora sin rätt ismåskollärarnes ålderdomsunderstödsanstalt, utan. att återfå sina där inbetalda afgifter, och därtill hafva så ytterst små utsikter att få pension på ålderns dagar uti folkskollärarnes pensionsinrättning. Jag kan för min del icke lika lättvindigt som statsutskottet affärda dessa lärares och </w:t>
      </w:r>
      <w:r>
        <w:rPr>
          <w:b/>
        </w:rPr>
        <w:t>lärarinnors³</w:t>
      </w:r>
      <w:r>
        <w:rPr>
          <w:b w:val="0"/>
        </w:rPr>
        <w:t xml:space="preserve"> kraf på rättvis behandling, då utskottet kategoriskt förklarar, att deticke genom min framställning blifvit öfvertygadt om lämpligheten af att undantagsbestämmelser i af motionären antydd riktning borde införas uti pensionsreglementet.</w:t>
        <w:br/>
        <w:br/>
        <w:t>Jag kan ej bedöma saken på annat sätt än att då undantagsbestämmelser finnas i det ena fallet, så böra de finnas i det andra. Och vill man icke erkänna detta, ja, då skall såväl undantagsbestämmelsen i seminariestadgans $ 33 som Kungl. Maj:ts rätt att meddela dispens från folkskollärarexamen borttagas.</w:t>
        <w:br/>
        <w:br/>
        <w:t>Nu har jag föreslagit, att Riksdagen skulle genom skrifvelse till Kungl. Maj:t begära en utredning jämte förslag om ändring i pensionsreglementet i detta hänseende. Man kan ju tänka sig antingen saken ordnad så, att en sådan lärare kunde få räkna sig någon viss del af sin tjänstgöring vid småskolan till godo, eller ock att han finge afgå tidigare än vid den föreskrifna</w:t>
        <w:br/>
        <w:br/>
        <w:t>tjänsteåldern mot erläggande af vissa afgifter. För mig var det Ang. ändring omöjligt att säga, hvilketdera vore lämpligast. Likaledes föreför olkskol ställer jag mig, att andra med frågan sammanhörande omstänjirarnes pendigheter borde komma under ompröfning. Jag vågade således sionsinrätticke formulera något förslag annat än om en skrifvelse till Kungl. ning. Maj:t. Häraf har nu utskottet bildat sitt andra skäl till min (Forts. motions afstyrkande. Det säger nämligen: »synnerligast som motionären icke gifvit någon anvisning om undantagsbestämmelsernas lydelse». Härpå svarar jag, att jag i mitt skrifvelseförslag begärt, att Kungl. Maj:t efter utredning skulle framlägga sådant förslag till lydelse af undantagsbestämmelserna och att jag hvarken kunde eller ville göra det i så fall.</w:t>
        <w:br/>
        <w:br/>
        <w:t>Frågan förefaller mig vara så af rättvisa och billighet påkallad, att jag hade god lust att framställa yrkande på bifall till min motion. Några af utskottets ledamöter ha emellertid i dag på morgonen underrättat mig om, att det inom utskottet förefunnits vissa betänkligheter i ett visst annat formellt hänseende rörande min motion, och jag skall därför, då jag har den föreställningen, att man inom utskottet, trots dess korta afstyrkande motivering, ändock behjärtat saken, icke framställa något yrkande. Men på samma gång vill jag förklara, att jag möjligen en annan gång skall återkomma med densamma och då framställa samma yrkande kanske med någon annan formulering.</w:t>
        <w:br/>
        <w:br/>
        <w:t>Herr talman! Jag har således för närvarande icke något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1120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