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1121</w:t>
      </w:r>
    </w:p>
    <w:p>
      <w:r>
        <w:rPr>
          <w:b/>
        </w:rPr>
        <w:t xml:space="preserve">Datum: </w:t>
      </w:r>
      <w:r>
        <w:t>1909-05-16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Starbäck (Lantmanna- och borgarepartiet inom andrakammaren, man)</w:t>
      </w:r>
    </w:p>
    <w:p>
      <w:r>
        <w:rPr>
          <w:b w:val="0"/>
        </w:rPr>
        <w:t>Herr talman! Jag har verkligen icke försökt att taga närmare reda på rektor Perssons familjeförhållanden, ty jag anser det endast vara vid alldeles enastående undantagsfall, då det är fråga om mycket små pensioner, som barmhärtighetskänslan i vidare grad skall få spela in. Nu har herr Rydén framhållit detta, och dessutom, att det endast skall vara i klara</w:t>
        <w:br/>
        <w:br/>
        <w:t>undantagsfall, som man skall göra afvikelser från bestämmelserna Ang. tilläggsangående pension. Jag förmodar emellertid, att han anser, att ipennion, BE det föreligger ett sådant undantagsfall, då det gäller nästa reser- Jr Persson. vation, där vi äro tillsammans om en sådan historia. Jag kan (Forts.) icke förstå, att det är ett undantagsfall i någon nämnvärdt högre grad än detta. Det gäller visserligen en person på ett lägre socialt trappsteg, men jag har den uppfattningen, att gäller det ett undantagsfall på det ena trappsteget, så bör det väl gälla lika väl, om det är ett undantagsfall på det andra trappsteget, en princip, som jag skulle hemställa till min högt ärade vän i statsutskottet att måhända litet oftare följa,</w:t>
        <w:br/>
        <w:br/>
        <w:t xml:space="preserve">Sålunda bör man väl ändå kunna se saken från den synpunkten, att här föreligger ett undantagsfall, och herr Rydén har icke kunnat visa, att det icke gör. Har man läst framställningen här angående rektor Perssons Bana, så finner man, att han under ytterst svåra ekonomiska förhållanden kämpade sig fram till den ställning, han sedan intog, en allmänt erkänd ställning såsom en framstående skolman, hvilken verkat välsignelsebringande i vida kretsar i den trakt, där han tjänstgjort, och man kan vara säker på, att han till följd af dessa ekonomiska förhållanden mycket sent kunde bilda familj. Det är ett förhållande, som jag många gånger af den ärade representanten på skånebänken hört framhållas såsom i socialt afseende betydelsefullt och såsom ett intresse, som det bör vara en för staten bjudande plikt att i vidsträcktaste grad främja. Med afseende på elementarläroverkens lärarekårer har det utgjort ett önskemål, som nu i någon mån blifvit tillgodosedt genom 1904 års läroverksreform. Hvad medför väl ett sent äktenskap? Jo, att man långt in på ålderdomen får afstå afsevärda summor för söners och </w:t>
      </w:r>
      <w:r>
        <w:rPr>
          <w:b/>
        </w:rPr>
        <w:t>döttrars²</w:t>
      </w:r>
      <w:r>
        <w:rPr>
          <w:b w:val="0"/>
        </w:rPr>
        <w:t xml:space="preserve"> uppfostran. Jag vet, att detta varit förhållandet här, jag vet, att rektor Perssons barn varit mycket sjuka och kostat honom mycket stora penningar. :</w:t>
        <w:br/>
        <w:br/>
        <w:t>Om man gifver sig in på detta mera privata område, tror jag således, att man äfven i detta fall kan säga, att åtskilliga förhållanden tala till känslan. Jag hade icke ansett lämpligt att framföra dem, men jag måste göra det på grund af herr Rydéns yttrande.</w:t>
        <w:br/>
        <w:br/>
        <w:t>Jag finner icke något skäl anfördt, som gör att jag anser mig böra förändra min ställning till frågan, utan skall be att få vidhålla mitt yrkande.</w:t>
      </w:r>
    </w:p>
    <w:p>
      <w:pPr>
        <w:pStyle w:val="Heading2"/>
      </w:pPr>
      <w:r>
        <w:t>2. Värner Ryden (Socialdemokraterna, man)</w:t>
      </w:r>
    </w:p>
    <w:p>
      <w:r>
        <w:rPr>
          <w:b w:val="0"/>
        </w:rPr>
        <w:t xml:space="preserve">Den reservation, som jag tillsammans med herr Starbäck afgifvit vid en följande punkt i utskottsbetänkandet, gäller en vaktmästareänka, som under 10 års tid försörjt sin sjuka man genom att uppehålla hans befattning. Det som nu begäres af en enskild motionär, är en pension af 300 kronor. Det är det enda, som </w:t>
      </w:r>
      <w:r>
        <w:rPr>
          <w:b/>
        </w:rPr>
        <w:t>hon²</w:t>
      </w:r>
      <w:r>
        <w:rPr>
          <w:b w:val="0"/>
        </w:rPr>
        <w:t xml:space="preserve"> skulle ha att lefva af på gamla dagar.</w:t>
        <w:br/>
        <w:br/>
        <w:t>I. Persson. huru man kan jämföra denna lilla samma om 300 kronor med (Forts. rektor Perssons pension på 3,280 kronor, det kan jag icke</w:t>
      </w:r>
    </w:p>
    <w:p>
      <w:pPr>
        <w:pStyle w:val="Heading2"/>
      </w:pPr>
      <w:r>
        <w:t>3. Johannes Hellgren (Liberala samlingspartiet, man)</w:t>
      </w:r>
    </w:p>
    <w:p>
      <w:r>
        <w:rPr>
          <w:b w:val="0"/>
        </w:rPr>
        <w:t xml:space="preserve">Herr talman, mina herrar! Såsom synes, har statsutskottet i denna punkt hemställt, att den motion, som jag och herr Kvarnzelius väckt till förmån för </w:t>
      </w:r>
      <w:r>
        <w:rPr>
          <w:b/>
        </w:rPr>
        <w:t>änkan²</w:t>
      </w:r>
      <w:r>
        <w:rPr>
          <w:b w:val="0"/>
        </w:rPr>
        <w:t xml:space="preserve"> efter aflidne vaktmästaren Forsberg vid allmänna läroverket i Sundsvall om ett årligt understöd af 300 kronor, icke måtte af Riksdagen bifallas. Som motiv för denna afstyrkande framställning har statsutskottet på fyra och en half rader anfört, att det icke torde hafva förekommit — som det synes, är utskottet icke säkert på den saken — att änkor efter vaktmästare vid statens allmänna läroverk erhållit pension; och på grund af de konsekvenser, som det sålunda skulle föra med sig, om motionen nu beviljades, så afstyrker statsutskottet densamma.</w:t>
        <w:br/>
        <w:br/>
        <w:t>Jag skall icke tillåta mig att till granskning upptaga detta statsutskottets, som jag tycker, tämligen svaga skäl för den afstyrkande framställningen, då ju statsutskottet ändå har att se på det formella så långt som möjligt och handla därefter. Men, då utskottet icke anfört en enda rad af den motivering, som vi i motionen förebragt, skall jag be att få uppläsa något därur.</w:t>
        <w:br/>
        <w:br/>
        <w:t xml:space="preserve">Jag vill nu först erinra om, att </w:t>
      </w:r>
      <w:r>
        <w:rPr>
          <w:b/>
        </w:rPr>
        <w:t>änkan²</w:t>
      </w:r>
      <w:r>
        <w:rPr>
          <w:b w:val="0"/>
        </w:rPr>
        <w:t xml:space="preserve"> vid tre särskilda tillfällen gjort ansökan hos Kungl. Maj:t om sådant understöd, men alla tre gångerna har avsökningen, ehuru tillstyrkt af öfverstyrelsen för rikets allmänna läroverk, afslagits af Kungl. Maj:t.</w:t>
        <w:br/>
        <w:br/>
        <w:t xml:space="preserve">Det är att märka, att till ansökningen voro bilagda intyg från läroverkets rektor, och jag kan tillägga, från alla, som, under den tid Forsberg innehade här berörda tjänst, varit rektorer vid detta läroverk, som här också står, samt läroverkets inspektor, hvilka alla i de mest berömmande ordalag vitsordade Forsberg för det nit, den påpasslighet och trohet, han städse ådagalagt i sin tjänst, hvadan de ock på det lifligaste tillstyrkte bifall till </w:t>
      </w:r>
      <w:r>
        <w:rPr>
          <w:b/>
        </w:rPr>
        <w:t>änkans²</w:t>
      </w:r>
      <w:r>
        <w:rPr>
          <w:b w:val="0"/>
        </w:rPr>
        <w:t xml:space="preserve"> ansökning. Åfven stadens kyrkoherde, kontraktsprosten I. O. Boström, vitsordade det sätt, på hvilket vaktmästare Forsberg skött sin tjänst. Intyg i samma riktning följde ock från andra personer inom samhället. Särskildt framhölls det nit, den omtanke och energi, som makarna Forsberg ådagalade för att rädda det nya läroverkshuset vid den stora eldsvåda, som år 1888 ödelade hela Sundsvalls stad. Utan vaktmästare Forsbergs och hans makas rådighet och påpasslighet hade måhända äfven läroverkets hus nedbrunnit. Huru stor förlust detta vid det tillfället varit, framgår bäst däraf, att det var det enda hus, som blef räddadt inom den egentliga staden. I detta hus fick sedan posten och telegrafen samt bankerna flytta in.</w:t>
        <w:br/>
        <w:br/>
        <w:t xml:space="preserve">Läroverksöfverstyrelsen, till hvilken här omhandlade ansökan äfvenledes af Kungl. Maj:t remitterats för utlåtandes afgifvande, hade ock de två första gångerna tillstyrkt ansökan om pension, men då Kungl. Maj:ts "beslut båda gångerna gingo i motsatt riktning, tillstyrkte öfverstyrelsen tredje gången på grund af vaktmästare Forsbergs nära trettioåriga så väl vitsordade tjänstgöring samt på grund af handlingarne bifogade läkareintyg om </w:t>
      </w:r>
      <w:r>
        <w:rPr>
          <w:b/>
        </w:rPr>
        <w:t>änkan²</w:t>
      </w:r>
      <w:r>
        <w:rPr>
          <w:b w:val="0"/>
        </w:rPr>
        <w:t xml:space="preserve"> Forsbergs sjuklighet och </w:t>
      </w:r>
      <w:r>
        <w:rPr>
          <w:b/>
        </w:rPr>
        <w:t>hennes²</w:t>
      </w:r>
      <w:r>
        <w:rPr>
          <w:b w:val="0"/>
        </w:rPr>
        <w:t xml:space="preserve"> saknad af tillräckliga försörjningsmedel, att en gratifikation af allmänna medel borde </w:t>
      </w:r>
      <w:r>
        <w:rPr>
          <w:b/>
        </w:rPr>
        <w:t>henne²</w:t>
      </w:r>
      <w:r>
        <w:rPr>
          <w:b w:val="0"/>
        </w:rPr>
        <w:t xml:space="preserve"> beviljas. Styrelsen föreslog gratifikationens storlek till 500 kronor. Det må ock nämnas, att vaktmästare F. L. Forsberg för trohet och nit i sin tjänst blifvit hedrad med kungl. patriotiska sällskapets guldmedalj.</w:t>
        <w:br/>
        <w:br/>
        <w:t xml:space="preserve">Nu står </w:t>
      </w:r>
      <w:r>
        <w:rPr>
          <w:b/>
        </w:rPr>
        <w:t>änkan²</w:t>
      </w:r>
      <w:r>
        <w:rPr>
          <w:b w:val="0"/>
        </w:rPr>
        <w:t xml:space="preserve"> nära sextio år gammal och på grund af sjukdom med ytterligt nedsatt arbetsförmåga utan annan utsikt till existensmedel under sin återstående lefnad än att anlita kommunens fattigvård, ty intet af barnen är i sådana ekonomiska omständigheter, att </w:t>
      </w:r>
      <w:r>
        <w:rPr>
          <w:b/>
        </w:rPr>
        <w:t>hon²</w:t>
      </w:r>
      <w:r>
        <w:rPr>
          <w:b w:val="0"/>
        </w:rPr>
        <w:t xml:space="preserve"> därifrån kan påräkna någon hjälp. Men att efter ett så långt, sträfsamt och plikttroget lif nödgas vädja till fattigvårdens hjälp, det måste kännas mer än tungt.</w:t>
        <w:br/>
        <w:br/>
        <w:t xml:space="preserve">Uti dessa korta erinringar tycker jag tämligen tillräckliga skäl äro anförda för bifall till den af mig och min medmotionär väckta motionen. Visserligen är det sant, att vaktmästarne vid statens allmänna läroverk icke äro statens tjänstemän i egentlig mening, men det har dock, såsom också utskottet säger, händt, att pensioner åt sådana beviljats. Men nu gäller det en </w:t>
      </w:r>
      <w:r>
        <w:rPr>
          <w:b/>
        </w:rPr>
        <w:t>änka²</w:t>
      </w:r>
      <w:r>
        <w:rPr>
          <w:b w:val="0"/>
        </w:rPr>
        <w:t xml:space="preserve"> efter en sådan vaktmästare, och något exempel på, att en sådan erhållit pension eller understöd känner utskottet icke till. Vi hafva emellertid nyligen här i Andra Kammaren behandlat ett ärende, nämligen angående </w:t>
      </w:r>
      <w:r>
        <w:rPr>
          <w:b/>
        </w:rPr>
        <w:t>änkan²</w:t>
      </w:r>
      <w:r>
        <w:rPr>
          <w:b w:val="0"/>
        </w:rPr>
        <w:t xml:space="preserve"> efter vaktmästaren vid läroverket i Ystad, hvilkens man dog, då de innehaft vaktmästaresysslan omkring två år, och som sedan fick fortfara att sköta sysslan med tillhjälp af dels legda personer och dels med den hjälp </w:t>
      </w:r>
      <w:r>
        <w:rPr>
          <w:b/>
        </w:rPr>
        <w:t>hennes²</w:t>
      </w:r>
      <w:r>
        <w:rPr>
          <w:b w:val="0"/>
        </w:rPr>
        <w:t xml:space="preserve"> egna barn kunde lämna. Nu är det den skillnad, att </w:t>
      </w:r>
      <w:r>
        <w:rPr>
          <w:b/>
        </w:rPr>
        <w:t>änkan²</w:t>
      </w:r>
      <w:r>
        <w:rPr>
          <w:b w:val="0"/>
        </w:rPr>
        <w:t xml:space="preserve"> Forsberg på senare åren nästan ensam fått sköta vaktmästaresysslan, emedan Forsberg led af ett mycket svårt hjärtfel, som också ändade hans lif och gjorde, att han icke själf kunde deltaga i några sysslor, som kräfde kraftansträngning. Han förmådde t. ex. icke att lyfta en bänk, och detta gjorde, att </w:t>
      </w:r>
      <w:r>
        <w:rPr>
          <w:b/>
        </w:rPr>
        <w:t>hustrun²</w:t>
      </w:r>
      <w:r>
        <w:rPr>
          <w:b w:val="0"/>
        </w:rPr>
        <w:t xml:space="preserve"> många gånger fick anstränga sig öfver sin förmåga, och </w:t>
      </w:r>
      <w:r>
        <w:rPr>
          <w:b/>
        </w:rPr>
        <w:t>hon²</w:t>
      </w:r>
      <w:r>
        <w:rPr>
          <w:b w:val="0"/>
        </w:rPr>
        <w:t xml:space="preserve"> ådrog sig också genom detta arbete, under städning, dammning och dylikt af lärosalarna för öppna fönster, enligt hvad läkarebetyget utvisar, en ledgångsreumatism, som gjorde </w:t>
      </w:r>
      <w:r>
        <w:rPr>
          <w:b/>
        </w:rPr>
        <w:t>henne²</w:t>
      </w:r>
      <w:r>
        <w:rPr>
          <w:b w:val="0"/>
        </w:rPr>
        <w:t xml:space="preserve"> oförmögen att vidare bidraga till sitt uppehälle. Skillnaden mellan denna </w:t>
      </w:r>
      <w:r>
        <w:rPr>
          <w:b/>
        </w:rPr>
        <w:t>änka²</w:t>
      </w:r>
      <w:r>
        <w:rPr>
          <w:b w:val="0"/>
        </w:rPr>
        <w:t xml:space="preserve"> och </w:t>
      </w:r>
      <w:r>
        <w:rPr>
          <w:b/>
        </w:rPr>
        <w:t>änkan²</w:t>
      </w:r>
      <w:r>
        <w:rPr>
          <w:b w:val="0"/>
        </w:rPr>
        <w:t xml:space="preserve"> i Ystad är hufvudsakligen den, att den senares man dog, så att </w:t>
      </w:r>
      <w:r>
        <w:rPr>
          <w:b/>
        </w:rPr>
        <w:t>hon²</w:t>
      </w:r>
      <w:r>
        <w:rPr>
          <w:b w:val="0"/>
        </w:rPr>
        <w:t xml:space="preserve"> själf fick stå för vaktmästaresysslans behöriga skötande, under det att den förras man,</w:t>
        <w:br/>
        <w:br/>
        <w:t xml:space="preserve">ehuru sjuk och oförmögen till arbete, lefde. Men </w:t>
      </w:r>
      <w:r>
        <w:rPr>
          <w:b/>
        </w:rPr>
        <w:t>hon²</w:t>
      </w:r>
      <w:r>
        <w:rPr>
          <w:b w:val="0"/>
        </w:rPr>
        <w:t xml:space="preserve"> fick dock Ang. pension i hufvudsak själf utföra arbetet, och jag tycker därför, mina Pp mete herrar, att denna hårfina skillnad, ehuruväl förtjänt att beaktas, Forsbergs dock icke bör få utgöra orsak till, att den ena får hjälp i sin — </w:t>
      </w:r>
      <w:r>
        <w:rPr>
          <w:b/>
        </w:rPr>
        <w:t>änka²</w:t>
      </w:r>
      <w:r>
        <w:rPr>
          <w:b w:val="0"/>
        </w:rPr>
        <w:t>. nöd, men den andra blir utan. Faktiskt är, att formellt sedt = (Forts.) och på laglig grund, har hvarken den ena eller andra rätt till</w:t>
        <w:br/>
        <w:br/>
        <w:t>pension. Båda få den af nåd, om jag så må säga, och om nu</w:t>
        <w:br/>
        <w:br/>
        <w:t xml:space="preserve">för </w:t>
      </w:r>
      <w:r>
        <w:rPr>
          <w:b/>
        </w:rPr>
        <w:t>änkan²</w:t>
      </w:r>
      <w:r>
        <w:rPr>
          <w:b w:val="0"/>
        </w:rPr>
        <w:t xml:space="preserve"> i Sundsvall hvarken Kungl. Maj:ts, statsutskottets</w:t>
        <w:br/>
        <w:br/>
        <w:t>eller Första Kammarens nåd räcker till, hoppas jag dock, att</w:t>
        <w:br/>
        <w:br/>
        <w:t xml:space="preserve">Andra Kammaren skall veta att häfda denna </w:t>
      </w:r>
      <w:r>
        <w:rPr>
          <w:b/>
        </w:rPr>
        <w:t>änkas²</w:t>
      </w:r>
      <w:r>
        <w:rPr>
          <w:b w:val="0"/>
        </w:rPr>
        <w:t xml:space="preserve"> rätt till samma</w:t>
        <w:br/>
        <w:br/>
        <w:t>nåd, och jag tillåter mig därför, herr talman, att yrka bifall till</w:t>
        <w:br/>
        <w:br/>
        <w:t>vår motion och afslag å statsutskottets afstyrkande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