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1124</w:t>
      </w:r>
    </w:p>
    <w:p>
      <w:r>
        <w:rPr>
          <w:b/>
        </w:rPr>
        <w:t xml:space="preserve">Datum: </w:t>
      </w:r>
      <w:r>
        <w:t>1910-01-23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Hugo Hamilton (Första kammarens nationella parti, man)</w:t>
      </w:r>
    </w:p>
    <w:p>
      <w:r>
        <w:rPr>
          <w:b w:val="0"/>
        </w:rPr>
        <w:t>Herr talman, mina herrar! Den siste ärade talaren har riktat en mängd förebråelser mot regeringen för dess hållning ech åtgärder under den stora arbetskonflikten 1 fjol. Då dessa förebråelser framför allt riktats mot det departement, som jag har äran förestå, torde det vara min plikt att på dem svara. Men jag gör det, jag bekänner det öppet, med den största motvilja. Att under så upprörda tider som dem vi genomlefde i fjol, missgrepp, förlöpningar och öfverord skulle förekomma, fann jag för min del lätt förklarligt. Men det vore enligt min uppfattning bäst, om vi nu kunde söka glömma detta för att i stället endast i minnet kvarhålla de allvarsamma lärdomar, som dessa händelser gifvit oss litet hvar, och som vi väl behöfva för de maktpåliggande arbeten för framtiden, som förestå oss. För att vi skola kunna föra i land detta arbete, för att vi med aktgifvande på alla berättigade intressen skola kunna här i landet skapa ett sådant tillstånd, att icke det, som inträffade i fjol — eller kanske något ännu värre — ständigt skall hänga öfver oss, förlamande vårt näringslif och förbittrande medborgareandan, för att detta skall kunna ske, fordras så många skarpa meningsbrytningar och så mycket målmedvetet samarbete, att vi enligt min uppfattning sannerligen kunde använda tiden bättre än att reta upp hvarandra med att, som man säger, gräla om den snö, som föll 1 fjol.</w:t>
        <w:br/>
        <w:br/>
        <w:t>Men jag lär väl vara tvungen att svara herr Branting. Om jag därvid något hårdhändt kommer att vidröra en och annan ömmande punkt, så får han skylla sig själf.</w:t>
        <w:br/>
        <w:br/>
        <w:t>Han talade om åtskilliga saker här. Han talade om de åtgärder, som af regeringen vidtagits för att paralysera storstrejken genom att sätta trafiken i gång; han beklagade sig öfver, att en utlänning, en af hans vänner, blifvit utvisad ur riket, och det var också andra liknande synder, som jag skulle ha begått. Dessa saker vårdar jag mig icke om att nu upptaga till behandling. Ar det så, att jag med afseende på dem öfverträdt lag eller icke iakttagit rikets sannskyldiga nytta, så antager jag, att jag i sinom tid får höra af det, och att det då blir tillfälle för mig att förklara mig. Jag skall därför endast hålla mig till hufvudpunkterna i herr Brantings anklagelser.</w:t>
        <w:br/>
        <w:br/>
        <w:t>Han klandrade regeringen därför, att den upplöst arbetsaftalskommittén, och han tycktes vilja låta påskina, att detta skett som ett uttryck af vrede, ett slags hämndeakt. Intet hade väl emellertid varit meningslösare, och ingenting är i själfva verket mindre öfverensstämmande med verkliga förhållandet. Det är ju själffallet, att man icke skulle vidtaga en så ovanlig åtgärd utan den största betänksamhet, och särskildt gällde detta, när det var fråga om en kommitté, som dock, då den upplöstes, hade utfört ett så verkligen</w:t>
        <w:br/>
        <w:br/>
        <w:t>förtjänstfullt arbete, som denna kommitté gjort. Atgärden vidtogs först efter långa och ingående öfverläggningar och med noga aktgifvande på alla på saken inverkande omständigheter. Den företogs först sedan kommittén på förfrågan förklarat sig vara på grund af omständigheter, som äro så väl kända, att jag icke behöfver redogöra för dem, urståndsatt att lägga sista handen vid arbetet så tidigt, att det skulle kunna vara möjligt att lägga fram förslaget för denna riksdag. Åtgärden vidtogs endast och allenast därför, att enligt regeringens uppfattning det var dess plikt att göra allt hvad på den ankom för att förslag i det ämne, som blifvit kommittén anförtrodt skulle kunna framläggas för 1910 års riksdag. Omdömet om åtgärdens behörighet torde därför helt och hållet sammanfalla med omdömet om befogenheten af denna regeringens uppfattning. Och då frågar jag: hvad skulle öfverhufvud taget hafva kunnat inträffa här 1 landet, som på ett mera eklatant sätt kunnat ådagalägga, att det är hög tid, att lagstiftningen äfven till detta område sträcker sin ordnande och reglerande hand? &lt;Storstrejken ådagalade ju, att på detta område rådde den otroligaste osäkerhet och ovisshet. Den ådagalade, att man knappast visste hvad kollektivaftal egentligen var och hvad det innebar; man hade icke alls klart för sig, hvilka rättigheter och skyldigheter, som tillkommo de krigförande parterna. Och kollektivaftalen, dessa urkunder på hvilka fred på arbetsmarknaden skulle fotas — huru behandlade man dem under konflikten? Som värdelösa papperslappar. Herr Branting talade nyss så vackert om, huru man borde låta samarbete mellan och öfverläggningar mellan de olika parterna så småningom arbeta fram en viss praxis och på den vägen komma til öfverenskommelser i stället för att våldsamt ingripa med lagstiftning. Men var det icke så, att genom utgången af den stora striden — den som var något inne i förhållandena kunde ju genast från början befara och det förutsades också redan vid stridens början, att striden skulle rinna ut i sanden — äfventyrades, att därmed skulle rinna bort äfven den praxis på arbetsaftalsområdet, som så småningom arbetat sig fram, äfvensom de principer, som arbetarne och arbetsgifvarne så småningom efter så många förhandlingar kommit till? Jag tror för min del, mina herrar, att man skall vara otroligt kortsynt för att icke inse, att här om någonsin var det af nöden, att lagstiftningen ingrepe och detta så snart som möjligt. Detta har åtminstone varit regeringens uppfattning, och detta och endast detta har varit anledningen, hvarför regeringen vidtagit denna åtgärd.</w:t>
        <w:br/>
        <w:br/>
        <w:t>Herr Branting nämnde något om innebörden af regeringens blifvande förslag, att man icke kunde bedöma ett sådant hastverk o. s. v. Skulle icke regeringen kunna våga anhålla, att omdömet om denna sak finge anstå, till dess förslaget ligger på bordet? Det är ju för öfrigt ett kändt förhållande, att det förslag, som regeringen kommit till, fotar sig i allt väsentligt på kommitténs arbete, och icke, som herr Branting sade, på något ogranskadt utkast, utan på ett förslag, som inom kommittén, enligt hvad jag inhämtat, genomgått tre läsningar. Strax efter det regeringen remitterat förslaget till lagrådet,</w:t>
        <w:br/>
        <w:br/>
        <w:t>offentliggjordes för öfrigt ett kommittébetänkande rörande dessa &lt; Remiss af frågor i Norge. Det kunde åtminstone icke betecknas som ett hast- = statsverksverk, ty den kommittén hade fått arbeta alldeles ostörd af någon propgottionen. »reaktionär regering». Och detta förslag öfverensstämmer likväl i — (Forts)</w:t>
        <w:br/>
        <w:br/>
        <w:t>väsentliga delar med det, som utarbetats af den svenska regeringen.</w:t>
        <w:br/>
        <w:br/>
        <w:t>Det finns naturligtvis detaljer, om hvilka man kan ha olika me-</w:t>
        <w:br/>
        <w:br/>
        <w:t>ningar. Men de olika synpunkterna komma nog till sin fulla rätt</w:t>
        <w:br/>
        <w:br/>
        <w:t>under debatterna här i Riksdagens kamrar. Den saken behöfver</w:t>
        <w:br/>
        <w:br/>
        <w:t>man ej vara rädd för.</w:t>
        <w:br/>
        <w:br/>
        <w:t>Herr Branting beklagade sig vidare däröfver, att regeringen under fjolåret vidtagit så omfattande åtgärder för att under alla eventualiteter kunna upprätthålla ordningen 1 landet och säkerställa medborgarnes lif och egendom. Äfven i det fallet tror jag, att regeringen icke gjorde annat än sin plikt, och att vidtagandet af dessa åtgärder varit regeringens plikt, äfven om icke så ”särskildt talande omständigheter förefunnits. Herr Branting sade, att dessa åtgärder visade ett misstroende till de svenska arbetarne. Ack nej, herr Branting, något misstroende till de svenska arbetarne hvarken har funnits eller finnes hos mig eller regeringen. Under den stora konflikten hade jag tvärtom tillfälle att offentligen uttala mitt erkännande öfver stämningen bland arbetarne och det sätt, hvarpå de uppfört sig — och hedern därför är deras, men sannerligen icke herr Brantings. Nej, det fanns nog ett djupt misstroende hos regeringen och ett berättigadt misstroende, men det riktade sig icke mot arbetarne men väl mot den ledning, under hvilken de ställt sig, nej, jag menar: under hvilken de ställts. Det är sannt, att strejkledningen och herr Branting gång efter annan talade och skref om det värdiga uppförande, som arbetarne borde iakttaga och som man af dem väntade, men, samtidigt som detta stod att läsa i den ena spalten, förekommo i den andra de mest upphetsande artiklar. Herr Branting gaf oss nyss ett slående exempel på huru han förfor och alltid förfar. Han sade: det är mitt hopp och förväntan, att inga våldsåtgärder skola ske, men om de ske, då må man sannerligen icke förvåna sig. På samma sätt förfor herr Branting hela storstrejken igenom. Jag var i den beklagliga belägenheten, att jag dagligen måste läsa det utmärkta organet »Svaret»&gt;, och där fann man på ena spalten uppmaning till ordning och på den andra upphetsande artiklar med framhållande af, att om oroligheter och våldsamheter skulle utbryta, så kunde man sannerligen icke bli förvånad. Det var ju så, att strejkledningen — jag vet icke, om jag skall säga strejkledningen eller herr Branting — förklarade, att det var alldeles onödigt, att man förstärkte polisen eller att man hade militär i beredskap, om oroligheter skulle uppkomma; det var alldeles onödigt, ty arbetarne hade förklarat, att de ville upprätthålla ordningen själfva och att de tillsatt ordningsmän. Ja, dessa ordningsmän gjorde många gånger godt, och det var många gånger mycket fördelaktigt att ha dem. Men det var ett slags tjänst, som de voro absolut odugliga till, men som jag för min del ansåg mycket viktig, nämligen att skydda de arbetsvilliga, ty dem</w:t>
        <w:br/>
        <w:br/>
        <w:t>ofredade de. Jag tror för öfrigt att hvar och en af Er, mina herrar, skall erkänna, att om man skall öfverlämna ordningens upprätthållande åt frivilliga krafter, så skall denna frivilliga polismyndighet eller kanske jag bör säga, detta frivilliga öfverståthållareämbete väl ändå först och främst visa, att det har aktning för lag och rätt. Det skall vidare visa, att det har förstånd på hvad en polismyndighet kan tillåta sig, och slutligen äfven visa, att det har något slags auktoritet och gehör hos dem, som det skall befalla. Bland många prof på strejkledningens brister i dessa hänseenden tillåter jag mig erinra, med afseende på uppfattningen af hvad en polismyndighet kan tillåta sig, om den beryktade frikortsukasen, hvarigenom man förbjöd hvem det vara månde att här på Stockholms gator föra fram åkdon utan skriftligt tillstånd från Folkets hus; med afseende på laglydigheten och aktningen för lagarne, om den fortsatta energiska bearbetning, som utfördes af herr Branting och hans vänner för att förmå statens tjänstemän, järnvägarnes och telegrafens tjänstemän att svika sin plikt. De hade förstås icke, dessa herrar, någon aning om att det, att dessa personer voro tjänstemän, innebar, att de också skulle hafva några skyldigheter. Nej, jag kan väl tro det — det hade de icke. Och med afseende på auktoriteten vill jag bland mycket annat endast erinra om den skandalösa dödgräfvarstrejken här i Stockholm. Jag undrar för öfrigt, när man ser tillbaka på det sista årets händelser, om man icke hade anledning att befara — äfven med de bästa föresatser hos de rättänkande arbetare, som deltogo i strejken, och som blott voro fyllda af hänförelse för den stora sak, för hvilken de trodde sig kämpa — om man icke hade rätt att frukta, att det likväl skulle kunna inträffa händelser, som fordrade de allvarligaste åtgärder? Namnen Sandö, Vinbräcka, Malmön äro icke förgätna, ej heller bomben på Amalthea; och skottet i Kungsträdgården hade knappast förtonat, då storstrejken började.</w:t>
        <w:br/>
        <w:br/>
        <w:t>Herr Branting säger, vi hade ju ställt garantier. Men hvad voro dessa garantier värda? Huru många gånger har icke herr Branting stått här i kammaren och slagit sig för sitt bröst och sagt, att han ej hade något ansvar för dessa människor! Men frånsedt detta, äfven om icke så direkt talande omständigheter förelegat för att man skulle vara på sin vakt och vidtaga åtgärder för alla eventualiteter, så vågar jag påstå, att om regeringen accepterat herr Brantings anbud och öfverlämnat ordningens upprätthållande åt honom, så hade detta inneburit intet mer och intet mindre än samhällsmaktens kapitulation. Det var ju också det, som herr Branting ville, men det var det, som icke lyckades! Hinc ille lacryme — häraf dessa beskärmelser.</w:t>
        <w:br/>
        <w:br/>
        <w:t>Och så beklagade sig herr Branting öfver, att de många polisoch militärkommenderingarna blifvit för dyra. Jag tycker det är något eget, att just han skall förebrå mig för det. Men ännu mera egendomligt är, att han skall anse sig kunna förebrå mig för att under storstrejken brännvinsinkomsterna minskades.</w:t>
        <w:br/>
        <w:br/>
        <w:t>Herr Branting har vidare klandrat det sätt, på hvilket medlingen utfördes. Ja, mina herrar, här kommer man ju in på ett</w:t>
        <w:br/>
        <w:br/>
        <w:t>kapitel som är ganska svårt. Jag tror, att äfven de, som liksom herr Branting icke tro, att regeringen någonsin hyser en redlig afsikt, måste erkänna, att man här är inne på ett fält, där det var ytterst svårt att bedöma, hvad som var klokast och riktigast. Regeringen pröfvade förhållandet noggrant och handlade därefter, och sedan den fattat sitt beslut, ansåg den sig böra handla följdriktigt och konsekvent, och jag tror fortfarande, att regeringen handlade riktigt. Herrarne veta alla, huru förhållandena här i landet de senaste åren utvecklat sig, huruledes den ena striden efter den andra blossat upp, den ena strejken efter den andra, lockout, blockad, bojkott och så vidare oafbrutet, och huruledes så småningom alltmer och mer å båda sidor den tanken börjat vakna, att ingen annan möjlighet funnes än att gå till en afgörande kamp. Dit hade man redan kommit på våren 1908, man stod då färdig att gripa till vapen och till en afgörande strid, men det lyckades den gången afvärja striden, det lyckades ehuru med stora svårigheter. Men redan omedelbart sedan detta fredsslut var ingånget, framträdde från båda sidor det största missnöje med, att man gifvit med sig, och föresatser sådana som dessa började framträda: nästa gång skola vi icke gifva med oss, nästa gång skall det gälla! Endast ett par dagar efter det fredsslut, som vunnits med så stora svårigheter, stod herr Branting nere i Nackarpsdalen och utstötte en stridsfanfar, hvarvid han inskärpte hos sina trogna: det fredsslut, som ingåtts, skall icke få bestå, utan så snart som möjligt skall det bli en strid och en afgörande strid! Herr Branting gaf härmed signalen till, huru striderna sedermera dirigerades under det kommande året; och så kommo vi till våren 1909. Då stodo båda parterna bestämdt afgjorda: nu skall det afgöras, nu skola vi vädja till vapen. Statens förlikningsmän inledde ett omsorgsfullt och energiskt arbete för att förebygga striden, och regeringen gjorde hvad den kunde för att komma underfund med, huru man skulle komma till en uppgörelse, men möttes af denna förklaring från båda sidor: vi vilja icke veta af något ingripande, någon medling från regeringens sida, vi visa bestämdt tillbaka detta, vi vilja gripa till vapen! Jag hade gjort allt hvad jag kunde för att förebygga striden, men i själfva verket var det icke utan att äfven jag inom mig trodde, att det icke fanns någon annan möjlighet. Och så bröt den stora striden ut. Hvarför regeringen sedan under själfva storstrejken icke gjorde någonting för att återupptaga medlingen, ja, det är så allbekant och jag har haft tillfälle att offentligen uttala det förut, och en sådan mängd af Sveriges tidningar ha inpräglat och inskärpt detta, att jag icke behöfver redogöra därför. Det var med få ord helt enkelt därför, att regeringen ansåg det absolut nödvändigt, såvida icke de största vådor för framtiden skulle skapas, att storstrejken fölle på sin egen obehörighet och på intet annat. Men sedan storstrejken hade misslyckats eller sedan den s. k. rationella klyfningen, hvarigenom nederlaget cacherades, inträffat — hvarför ingrep icke regeringen då och tvang parterna att förlikas? Ja, mina herrar, jag undrar för det första, om det verkligen skulle lyckats. Herr Branting talade om</w:t>
        <w:br/>
        <w:br/>
        <w:t xml:space="preserve">en kommission med auktoritativ sammansättning. Det skulle just vara roligt att höra herr Branting angifva ledamöterna i den kommissionen. Min öfvertygelse, mina herrar, är, att ställningen var sådan, att ingen kommission och ingen, eho det vara månde, skulle lyckats frampressa den uppgörelse, som herr Branting talade om. Regeringen uppdrog åt förlikningsmännen, allmänt aktade, skickliga och kunniga män att återigen försöka, om de kunde göra någonting. Regeringen vidtog ej någon annan åtgärd än denna, emedan regeringen kommit till den bestämda öfvertygelsen att, om den stora striden skulie medföra något godt resultat, måste man ovillkorligen låta parterna löpa linan ut. Det fick icke denna gång hända, att den ena eller andra parten ansåge sig af regeringen pressad och tvingad att uppgifva principer, som den ansett för sig oeftergifliga. Det måste vidare ske, att parterna å båda sidor genom egna erfarenheter lärde sig inse, att de gripit till ett vapen, som var farligt både för dem själfva och samhället, farligt för båda sidor; de måste inse, att de dragit ett tveeggadt svärd ur skidan. Endast därigenom kunde man hysa hopp om, att denna strid icke skulle upprepas eller att parterna åtminstone icke skulle gripa till samma vapen i brådkastet. Det var denna tanke, som dikterade regeringens åtgöranden och som regeringen tillämpade konsekvent. Huru väl förstår jag icke de varmhjärtade </w:t>
      </w:r>
      <w:r>
        <w:rPr>
          <w:b/>
        </w:rPr>
        <w:t>kvinnor¹</w:t>
      </w:r>
      <w:r>
        <w:rPr>
          <w:b w:val="0"/>
        </w:rPr>
        <w:t xml:space="preserve"> och män, som allt emellanåt sökte påverka regeringen! De sågo olyckan, sågo allt det elände, som denna strid förde med sig, grepos af bekymmer och ropade: Ni måste göra slut på detta! Ja, mina herrar, när man har den plats, som jag har, och när man betänker det ansvar, som åligger en regering, då får man lära sig, att det finnes tillfällen, då man måste slå döförat till äfven för sådana böner, tillfällen då man måste säga: om man går dem tillmötes, så vinner man kanske en lättnad för ögonblicket, men skapar en framtid, som innebär de största vådor.</w:t>
        <w:br/>
        <w:br/>
        <w:t>Jag har med nöje begagnat detta tillfälle att inför kammaren redogöra för den uppfattning, som i själfva verket legat till grund för den politik, som regeringen förde under storstrejken, den politik som så hånfullt betecknats endast som de korslagda armarnas politik. Jag tror, att den som ser längre än blott för ögonblicket skall erkänna, att vi handlat klokt, och på det sätt, som för samhället i dess helhet var nyttigast.</w:t>
        <w:br/>
        <w:br/>
        <w:t>Genom herr Brantings anförande gingo såsom en röd tråd försöken att framställa regeringen såsom, jag tror han sade, besatt af »reaktionärt ursinne&gt;, såsom fullkomligt oförmögen att förstå arbetarnes sträfvanden och det stora i den rörelse, om hvilken han talade. För herr Branting är det naturligtvis fullkomligt ofattligt, att man kan hysa det varmaste intresse för de sociala spörsmålen, att man kan vara besjälad af den mest lefvande önskan att kunna på allt sätt främja arbetarnes lojala sträfvanden att höja sig själfva i intellektuellt och ekonomiskt afseende, utan att likväl anse sig kunna låta passera eller utan att försvara hvarje förlöpning, hvarje rättskränkning, hvarje obehörigt anspråk blott därför att det framställes under klassolidaritetens hallstämpel. Herr Branting har, såsom han</w:t>
        <w:br/>
        <w:br/>
        <w:t>själf något själfkärt här framhållit, många gånger både i kammaren och utanför densamma talat i de sociala frågorna förståndiga ord, framställt förmaningar och sökt lugna de upprörda sinnena. Under storstrejken begicks ingen öfverilning, ingen rättskränkning, ingen förvillelse, intet än så obehörigt angrepp på olika tänkande, som, där det icke rent af, såsom ofta händt, haft herr Branting till upphofsman, icke af honom främjats, försvarats och glorifierats.</w:t>
        <w:br/>
        <w:br/>
        <w:t>Ja, herr talman, jag tror, att trots detta ironiska bravorop hvad jag sagt är fullkomligt sant. För herr Branting — och det torde vara skäl att ihågkomma detta, om han ännu en gång kommer med sina milda sirentoner — finnes icke annat än ensidig, samhällsupprörande klasspolitik.</w:t>
        <w:br/>
        <w:br/>
        <w:t>För några dagar sedan, omedelbart efter det riksdagen öppnats, utsände herr Branting i tidningen Socialdemokraten ett af dessa pronunciamenton, med hvilka han en eller två gånger i veckan lyckliggör sina trogna. I denna artikel inskärpte han hos dem, att framtidens politik måste för hans parti och dem, som slutit sig till honom — hvilket han naturligtvis anser vara alla Sveriges arbetare — blifva att tillvälla sig all makt i samhället för att kunna omskapa samhället efter sina behof. Att det kan finnas andra behof, andra berättigade intressen, som torde böra bestå vid sidan af dessa, för den satsen finnes hos herr Branting ingen resonans. Nästan samtidigt med att jag läste dessa tirader, föll i min hand en redogörelse för ett tal, som en annan man på en annan ort hållit under de dagar, då herr Branting här i landet var mest sysselsatt med att utbreda den s. k. nya moralens lära. Det var den franska arbetsministern Millerand, äfven han en socialist, fastän han hunnit något längre på utvecklingsskalan än herr Branting, icke blott däri, att han är minister. Han höll ett tal till sina valmän i Paris öfver ämnet: Nödvändigheten af samförstånd och samarbete mellan arbetet och kapitalet. Han inskärpte, att utan sådant samförstånd, utan sådant samarbete är allt produktivt arbete omöjligt. Han framhöll, att samhället icke längre kan tåla det tillstånd på arbetsmarknaden, som för närvarande rådde. Han sade: är det rimligt, att vi här i staden Paris kommit så långt, att vi lefva i ett ständigt krigstillstånd och att själfva denna stad icke kan skicka en arbetare att utföra det enklaste gatuarbete utan att sätta två poliskonstaplar att skydda honom mot öfvervåld? Han förklarade, att det icke finnes annan möjlighet till räddning ur detta elände än vaknande insikt om, att arbetsgifvarne och arbetarne icke äro fiender utan hafva sammanstämmande intressen, att de äro båda, såsom han uttryckte sig, medarbetare i det produktiva arbetets tjänst. När skola vi få höra så förståndiga ord från våra socialistledare?</w:t>
        <w:br/>
        <w:br/>
        <w:t>Herr Byström: Herr talman, mina herrar! Jag vill fästa mig särskildt vid en punkt i statsverkspropositionen.</w:t>
        <w:br/>
        <w:br/>
        <w:t>Herr statsrådet och chefen för finansdepartementet yttrar till statsrådsprotokollet, att han med hänsyn till statskassans behof och med kännedom om, att tullen på kaffe är vida högre i en del andra</w:t>
        <w:br/>
        <w:br/>
        <w:t>länder än hvad fallet är hos oss, föreslår, att denna tullsats må höjas från 12 öre till 18 öre för kilogram, hvilket skulle gifva en ökad inkomst i statskassan af 1,800,000 kronor. Det förslag, som i detta afseende gifvits, synes mig vara af beskaffenhet, att det icke kan anses vara tilltalande.</w:t>
        <w:br/>
        <w:br/>
        <w:t>Den ökade kaffetullen synes mig vara för det första olämplig, därför att den är allenast en finanstull på en icke lyxvara. Andra tullar på nödiga konsumtionsartiklar hafva äfven det ändamålet att vara, såsom man åtminstone tror, skyddstullar, men så är icke förhållandet med kaffetullen. Vi hafva nu alla vant oss vid vårt tullsystem, så att vi ju tolerera tullar på en mängd af de oumbärligaste konsumtionsartiklarna, men då en ny tull eller en ökad tullsats sättes ifråga på en ganska allmän förbrukningsartikel, en vara, som från vissa synpunkter och för vissa folklager kan anses vara snart sagdt oumbärlig, skall det väl icke förvåna någon, om man inför densamma ställer sig, såsom det bevingade ordet säger, undrande och spörjande.</w:t>
        <w:br/>
        <w:br/>
        <w:t>Tullen på kaffe är för det andra olämplig därför, att den gifvetvis kommer att tyngst drabba dem, som i ekonomiskt hänseende tillhöra den mindre bärkraftiga delen af vårt folk. Vi hafva förut så höga tullar för lifsförnödenheter, att det synes vara tillräckligt, och det torde vara nog äfven för den mest varmhjärtade tullvän. Visserligen säges det, att den föreslagna ökningen i tullsatsen, 6 öre för kilogram, är så liten, att den knappast kommer att kännas. Men så får man väl dock svårligen resonera. Man bör väl i stället komma ihåg, att vi redan förut hafva en ganska kännbar skatt på kaffe, som gifver oss redan inemot 4 miljoner kronor, äfvensom att lefnadskostnaderna i vårt land äro så stora, att det är blott få länder, som öfverträffa oss därutinnan. Man må erinra sig, att icke blott statskassan, utan äfven de, som skola lämna bidrag till denna kassa, få vidkännas de svåra tiderna, äfven om skatten utkräfves på indirekt väg.</w:t>
        <w:br/>
        <w:br/>
        <w:t>Den föreslagna ökningen i kaffetullen är vidare olämplig, därför att den fördyrar en dryck, som har den viktiga uppgiften att konkurrera med alkoholhaltiga drycker, en sak, som icke bör förbises. Från nykterhetssynpunkt anser jag det sålunda vara oklokt att med ökad tull i sin mån bidraga till fördyrande af den ifrågavarande drycken. Afven om somliga människor skulle, såsom jag nyss påpekat, begagna kaffet nästan till öfvermått, äro dock de faror, som däraf möjligen i ett eller annat afseende skulle komma att uppstå, så försvinnande små mot de faror, som. bevisligen äro en följd af öldrickandet, att man icke ens kan göra en jämförelse dem emellan eller tala därom på samma dag.</w:t>
        <w:br/>
        <w:br/>
        <w:t>Såsom ett af de hufvudsakligaste skälen för lämpligheten af att öka kaffetullen har herr statsrådet och chefen för finansdepartementet, efter att först ha framhållit statskassans behof af ökade inkomster, anfört, att motsvarande tullsats i en del andra länder är högre än hos oss. Men i denna omständighet synes mig ligga en klen tröst, då man besinnar, att lefnadskostnaderna hos oss äro, såsom nyss sades, högre än i många andra länder. De nödvändigaste konsum-</w:t>
        <w:br/>
        <w:br/>
        <w:t>tionsartiklarne äro i Sverige dyrare än t.ex. i Danmark; spannmålen kostar sålunda 15 å 20 procent mera i Stockholm än i Köpenhamn. Att under sådana omständigheter ytterligare höja tullen å kaffe, äfven om den i en del andra länder är högre än hos oss, kan icke vara lämpligt. Vidare vet man icke, i hvilken grad kaffe förbrukas i dessa åsyftade länder eller om man där har andra saker att tillgå 1 dess ställe.</w:t>
        <w:br/>
        <w:br/>
        <w:t>Jag förstår, att herr statsrådet och chefen för finansdepartementet haft icke så små bekymmer för att finna utvägar till fyllande af statsbristen och för att få budgeten att gå ihop; men då han i dessa sina svårigheter gripit till kaffetullens höjande, måste han anses ha varit mindre lyckad i sina åtgöranden. Det måste finnas skatteobjekt, som bättre lämpa sig för ordnande af budgeten, än den för mången så vederkvickande kaffetåren. Jag hoppas därför, att Riksdagen skall finna utvägar att i budgeten göra sådan ändring, att de 1,800,000 kronor, som kaffetullen genom den nu ifrågasatta ökningen beräknas skola inbringa utöfver nuvarande inkomster af densamma, skola blifva åtminstone för innevarande år öfverflödiga.</w:t>
      </w:r>
    </w:p>
    <w:p>
      <w:pPr>
        <w:pStyle w:val="Heading2"/>
      </w:pPr>
      <w:r>
        <w:t>2. Knut Henning Gezelius von Scheele (–, man)</w:t>
      </w:r>
    </w:p>
    <w:p>
      <w:r>
        <w:rPr>
          <w:b w:val="0"/>
        </w:rPr>
        <w:t>Herr talman! Remissdebatten erbjuder ett osökt tillfälle att till regeringen frambära sina bekymmer i ett som annat, hvaraf äfven jag ber få begagna mig.</w:t>
        <w:br/>
        <w:br/>
        <w:t xml:space="preserve">Den 17 mars 1905 utfärdades en lag om s. k. oäkta barns arfsrätt efter </w:t>
      </w:r>
      <w:r>
        <w:rPr>
          <w:b/>
        </w:rPr>
        <w:t>moder²</w:t>
      </w:r>
      <w:r>
        <w:rPr>
          <w:b w:val="0"/>
        </w:rPr>
        <w:t xml:space="preserve"> och mödernefränder, till hvilken riksdagsskrifvelsen den 18 mars 1903 gifvit närmaste anledning. Det utlåtande, i hvilket lagutskottet den 7 februari förstnämnda år hemställde om Riksdagens bifall till det i den kungl. propositionen innefattade lagförslag, slutar med följande ord, på hvilka jag tillåter mig fästa kammarens uppmärksamhet: »Rättssäkerheten kräfver särskilda anordningar, för att man inom en relativt kort tid må kunna afgöra, huruvida delaktighet i ett stärbhus” tillgångar tillkommer någon på grund af oäkta skyldskap. Detta är så mycket mera påtagligt, när man äger lagbestämmelser, sådana som de i kungl. brefvet den 17 oktober 1778, hvilka afse att hålla hemligt, hvem som är </w:t>
      </w:r>
      <w:r>
        <w:rPr>
          <w:b/>
        </w:rPr>
        <w:t>moder²</w:t>
      </w:r>
      <w:r>
        <w:rPr>
          <w:b w:val="0"/>
        </w:rPr>
        <w:t xml:space="preserve"> till ett oäkta barn. Man torde haft anledning vänta, att Kungl. Maj:t i samband med förevarande lagförslag fogat anstalt om ändring i nämnda lagstadgande.»</w:t>
        <w:br/>
        <w:br/>
        <w:t>Med hänvisning härtill väckte jag vid följande års Riksdag motion, att »Riksdagen måtte hos Kungl. Maj:t anhålla, det täcktes Kungl. Maj:t, efter utredning om sättet för sådan ändring af mom. 7 i kungl. brefvet den 17 oktober 1778, att moders namn blifver fortfarande skyddadt mot offentliggörande, men till upplysning och ledning i vissa af Kungl. Maj:t uppgifna och bestämda fall på lämpligt sätt antecknadt, till Riksdagen inkomma med det förslag, hvartill utredningen kan föranleda.&gt; De särdeles ingående debatterna om denna sak i bägge kamrarne resulterade i en dylik anhållan hos Kungl. Maj:t, med tillägg, att därest sådant skydd funnes ej lämpligen kunna beredas, sagda moment och bestämmelser måtte upphäfvas.</w:t>
        <w:br/>
        <w:br/>
        <w:t>I denna alternativa form har ock, enligt hvad mig från sakkunnigt håll meddelats, ärendet blifvit af Kungl. Maj:t till lagberedningen öfverlämnadt, för att i sinom tid där behandlas. När den tiden kommer, lär ingen kunna förutsäga, men nog dröjer det, därest icke någon extra ordinär åtgärd vidtages. Emellertid torde årligen tusentals barn i vårt land gå förlustiga deras mest naturliga rättighet, hvarjämte en hithörande lagbestämmelse saknar sin af Riksdagen såsom nödig förklarade utfyllnad; och detta trots alla offentligt och enskildt gjorda yrkanden på snar rättelse härutinnan. Ty aldrig lär ett föråldradt lagstadgande hafva utdömts af en allmännare och mer välgrundad folkopinion, än här är händelsen. Hvad som vid dess tillkomst för mer än 130 år tillbaka uttryckligen angafs såsom orsak, nämligen faran för barnamord, existerar säkerligen icke vidare på sådant sätt, att däraf skulle kunna berättigas ett dylikt undanhållande af barnets rätt att få kännedom om sin börd, men väl frammanas häraf tanken på en annan, helt visst icke mindre ödesdiger fara, nämligen minskad ansvarskänsla hos dem, som förmedlat en människas inträde i lifvet, utan att akta på hvilken beklagansvärd risk ur både personlig och medborgerlig synpunkt frånvaron af föräldravård innebär.</w:t>
        <w:br/>
        <w:br/>
        <w:t>Finnes det för regeringen någon möjlighet att påskynda denna viktiga angelägenhets behandling, anhåller jag vördsamt 1 de mångas namn, som saken rör, men hvilka icke själfva kunna klaga sin nöd, att den icke måtte lämnas obeaktad. Ligger enda hindret i bristande tjänstemannakrafter och detta förhållande kan visas bero på otillräckligheten i de för sådant ändamål anvisade medel, så borde efter mitt förmenande redogörelse härför icke, såsom ju är fallet, nu saknats.</w:t>
      </w:r>
    </w:p>
    <w:p>
      <w:pPr>
        <w:pStyle w:val="Heading2"/>
      </w:pPr>
      <w:r>
        <w:t>3. Gustaf Albert Petersson (Lantmanna- och borgarepartiet inom andrakammaren, man)</w:t>
      </w:r>
    </w:p>
    <w:p>
      <w:r>
        <w:rPr>
          <w:b w:val="0"/>
        </w:rPr>
        <w:t xml:space="preserve">Herr talman, mina herrar! Jag anser mig icke böra lämna herr von Schéeles anförande utan svar. Han uppgaf att frågan om ändring i eller upphäfvande af 1778 års cirkulär om barnamord blifvit öfverlämnadt till lagberedningen för att behandlas i samband med den revision af giftermålsbalken, hvarmed lagberedningen nu är sysselsatt. Så förhåller sig också. Därvid har jag visst icke varit blind för angelägenheten af, att något snarast göres för att råda bot på de missförhållanden, som herr von Schéele talade om. Jag har haft så mycket större anledning att taga den saken i öfvervägande, som det föreligger icke mindre än tre kyrkomötesskrifvelser och en riksdagsskrifvelse i ämnet. Men hithörande saker sammanhänga så på det allra närmaste med åtskilliga frågor, som nu skola blifva föremål för bearbetning af lagberedningen, att de icke kunna därifrån skiljas. Jag vill i det hänseendet särskildt erinra om den riksdagsskrifvelse, som år 1907 afläts till Kungl. Maj:t och däri Riksdagen begärde en lagstiftning angående oäkta barns och deras </w:t>
      </w:r>
      <w:r>
        <w:rPr>
          <w:b/>
        </w:rPr>
        <w:t>mödrars²</w:t>
      </w:r>
      <w:r>
        <w:rPr>
          <w:b w:val="0"/>
        </w:rPr>
        <w:t xml:space="preserve"> rättsställning. Det är ungefär samma sak, som innefattas i krafvet på revision af 1778 års cirkulär. Men att vid-</w:t>
        <w:br/>
        <w:br/>
        <w:t>taga en dylik revision utan att gå in på den öfriga delen af ämnet låter sig icke göra.</w:t>
        <w:br/>
        <w:br/>
        <w:t>Under sådana förhållanden är saken otvifvelaktigt mest gagnad därmed, att man förfar så, som nu skett, nämligen att öfverlämna det hela till lagberedningen. Den begärda reformen skulle icke komma fortare fram, om den hade tagits upp inom departementet. Lagberedningens revision af giftermålsbalken beräknas vara slutförd på omkring tre år, och säkert är, att saken vinner på att hänskjutas till lagberedningen. En omfattande behandling af densamma, därvid hänsyn måste tagas till de grundsatser, på hvilka giftermålsbalken 1 öfrigt är stödd, låter sig icke verkställas på annat sätt, än om allt, som hör hit, får tagas i ett sammanhang.</w:t>
        <w:br/>
        <w:br/>
        <w:t>Jag tror således, att regeringen genom sitt förfarande ingalunda på något sätt satt denna angelägna lagstiftningsåtgärd å sido, utan tvärtom, att den nu kommer att genomföras på ett sätt, som länder till dess egen fromma.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1124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