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w:t>
      </w:r>
    </w:p>
    <w:p>
      <w:r>
        <w:rPr>
          <w:b/>
        </w:rPr>
        <w:t xml:space="preserve">Datum: </w:t>
      </w:r>
      <w:r>
        <w:t>1910-02-22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Sigfrid Wieselgren (–, man)</w:t>
      </w:r>
    </w:p>
    <w:p>
      <w:r>
        <w:rPr>
          <w:b w:val="0"/>
        </w:rPr>
        <w:t>Denna fråga bör just bedömas med öppet öga för den där förutsättningen, som den förste talaren påpekade, nämligen att det är en gammal rätt i vårt land, som det här är fråga om. Det är icke fråga om införande af lokalt veto, utan blott om att ändra sättet för besluts fattande i denna fråga. Jag tvekar icke det minsta att säga, att denna reform icke alls är så lätt att genomföra; men jag tror, att om Första kammaren bifaller en sådan skrifvelse, som här är af reservanterna föreslagen, skall Kungl. Maj:t vid sin utredning af detta önskemål nödvändigtvis ock taga i betraktande de ovissa punkter, som för frågans klarerande måste belysas. Det är ju t. ex. en mycket kinkig sak att nöja sig med att gifva rätt åt</w:t>
        <w:br/>
        <w:br/>
        <w:t xml:space="preserve">en kommun att besluta lokalt veto på grund af allmän folkomröstning, Om införande under det att nästa kommun, alldeles gräns i gräns med den, har en af joka uta sådan befolkning, att den icke alls hyllar samma princip, och då är hasdel usd det naturligtvis en ganska oviss vinst, man erhåller, därest grannbrännvin. kommunen lägger krogen på sin sida om gränsen. Låt vara att man &lt; (Forts.) genom sitt beslut har förekommit, att den får ligga på derna sidan af gränsen, hitta nog brännvinskunderna i alla fall till grannkommunens krog. Ovillkorligen äro bestämmelser af nöden, hvilka måste göra den ena kommunens beslut i någon mån förbindande för förhållandena i gränskommunen. Däri ligger ju en svårighet. Hvad som gör, att jag alltid haft en djup känsla för det önskvärda i, att denna rätt, rätten att besluta om lokalt veto, skulle kunna ordnas på annat sätt än hittills, är hänsynen till </w:t>
      </w:r>
      <w:r>
        <w:rPr>
          <w:b/>
        </w:rPr>
        <w:t>kvinnorna¹</w:t>
      </w:r>
      <w:r>
        <w:rPr>
          <w:b w:val="0"/>
        </w:rPr>
        <w:t xml:space="preserve">, hänsynen till brännvinsförbrukarnas </w:t>
      </w:r>
      <w:r>
        <w:rPr>
          <w:b/>
        </w:rPr>
        <w:t>hustrur²</w:t>
      </w:r>
      <w:r>
        <w:rPr>
          <w:b w:val="0"/>
        </w:rPr>
        <w:t xml:space="preserve"> och deras hem, hänsynen till barnen i de familjer, där familjefadern är en mer eller mindre långt hunnen brännvinskonsument. Det är icke en ringa del utaf statens och kommunernas brännvinsinkomster, som gå just från dessa fattiga hem, just från dessa arbetare, som lägga ned en större eller mindre procent af sin begränsade arbetsinkomst på krogen. Jag minns från mina barndomsår, hur det vid tal härom ofta omtalades, huru dessa stackars </w:t>
      </w:r>
      <w:r>
        <w:rPr>
          <w:b/>
        </w:rPr>
        <w:t>hustrur²</w:t>
      </w:r>
      <w:r>
        <w:rPr>
          <w:b w:val="0"/>
        </w:rPr>
        <w:t xml:space="preserve"> brukade samla sig utanför arbetsbetalningskontoren för att redan där söka få någon del af familjefaderns arbetsförtjänst för att därmed kunna underhålla hemmet; men jag minnes också, huru . det klagades öfver, att dessa försök vanligen misslyckades. Det har alltid sedan den tiden förefallit mig upprörande, att dessa </w:t>
      </w:r>
      <w:r>
        <w:rPr>
          <w:b/>
        </w:rPr>
        <w:t>kvinnor¹</w:t>
      </w:r>
      <w:r>
        <w:rPr>
          <w:b w:val="0"/>
        </w:rPr>
        <w:t xml:space="preserve">, som hafva att bära den värsta tungan af männens brännvinsförbrukning, icke skola hafva ett ord att säga om brännvinsförsäljningsrätten. I de dagar, då </w:t>
      </w:r>
      <w:r>
        <w:rPr>
          <w:b/>
        </w:rPr>
        <w:t>kvinnorna¹</w:t>
      </w:r>
      <w:r>
        <w:rPr>
          <w:b w:val="0"/>
        </w:rPr>
        <w:t xml:space="preserve"> vaknat till medvetande om sin rätt äfven som medborgarinnor i samhället, vore det väl på tiden att låta dem få börja med utöfvandet af sin rösträtt åtminstone på detta område inom de lokala sambällena, så att de där blefve i tillfälle att göra sina lärospån. Och jag gör detta så mycket hellre, som jag är öfvertygad, att detta deras ingripande skulle vara till fördel icke blott för dem, utan också för samhället i dess helhet. Därför, herr talman, yrkar jag bifall till reservationen.</w:t>
      </w:r>
    </w:p>
    <w:p>
      <w:pPr>
        <w:pStyle w:val="Heading2"/>
      </w:pPr>
      <w:r>
        <w:t>2. Louis Ljungberg (Första kammarens moderata parti, man)</w:t>
      </w:r>
    </w:p>
    <w:p>
      <w:r>
        <w:rPr>
          <w:b w:val="0"/>
        </w:rPr>
        <w:t>Man hade haft grundad anledning förvänta, att nu föreliggande utskottsbetänkande skulle mottagits af alla med tillfredsställelse, jämväl af de aktiva nykterhetsvännerna. Utskottets majoritet har ju, 1 likbet med motionärerna och reservanterna, uttryckligen förklarat, att den vill vara med om en utredning af den föreliggande frågan. Skillnaden är endast den, att då motionärerna vilja utreda hvarje spörsmål för sig eller åtminstone skrifva till Kungl. Maj:t om hvarje spörsmål för sig, så vill utskottets majoritet däremot, att alkoholspörsmålet skall i ett sammanhang fullständigt och opartiskt utredas. Nog förefaller det, som om utskottets majoritet skulle hafva den riktiga uppfattningen, då man åsyftar att få fram en utredning så uttömmande, att den både för förbudsifrarna och principiella förbudsmotståndare klart visar, hvarthän de begärda utredningarna leda. Reservanterna hafva icke kunnat underlåta att i sin reservation gifva ett litet, ett</w:t>
        <w:br/>
        <w:br/>
        <w:t>mycket litet erkännande åt det tillmötesgående, som motionärerna rönt'i utskottsbetänkandet, men trots detta vilja de icke vara med om, att det lokala vetot under några förhållanden sammanslås med den större utredningen. Hvarför, har jag frågat vederbörande? Jo, svaras det, därför att denna fråga är så enkel och klar, att den icke behöfver någon vidare utredning. Jag tillåter mig hysa en alldeles motsatt uppfattning.</w:t>
        <w:br/>
        <w:br/>
        <w:t>Af alla de nykterhetskraf, som äro framställda, är krafvet på lokalt veto på den allmänna och direkta rösträttens grund det, som enligt min mening innebär de allra största vådorna. Staten, som i gällande lagstiftning medgifver utöfvandet af en viss handtering, skulle öfverlämna åt den ovissa folkomröstningen i de särskilda kommunerna att afvöra om den lagliga handteringens öde. Genom en dylik allmän folkomröstning ställer man ju på det oberäkneligas, på den plötsliga omkastningens grund den ekonomiska planläggningen hos de särskilda samhällena och hos stora statsinstitutioner. Man bereder lika plötsligt undergång åt mången under statens hägn tillkommen industriell anläggmng, åtminstone sådana, hvars hufvudsakliga afsättning sker inom det samhälle, där anläggningen är belägen. Man sprider i ett nu ruin åt många enskilda medborgare, som kanske just hämta sin hufvudsakliga utkomst från denna under hägn af statens lagar tillkomna industri.</w:t>
        <w:br/>
        <w:br/>
        <w:t>Det är, såsom herrarna häraf finna, ett mycket ingripande spörsmål detta, och det behöfver förvisso utredas i sammanhang med både förslaget om totalförbud och öfriga framkomna förslag i nykterhetens intresse. Mig personligen tilltalar längt mera en utveckling i den riktning, som angifvits i herr Jonssons i Hökhult motion, än ett lokalt veto af nu ifrågavarande beskaffenhet.</w:t>
        <w:br/>
        <w:br/>
        <w:t xml:space="preserve">Man bör ej heller lämna utan noggrant öfvervägande konsekvensen af en dylik folkomröstning i de särskilda kommunerna. Har man börjat att man ur huse (inkl. </w:t>
      </w:r>
      <w:r>
        <w:rPr>
          <w:b/>
        </w:rPr>
        <w:t>kvinnor¹</w:t>
      </w:r>
      <w:r>
        <w:rPr>
          <w:b w:val="0"/>
        </w:rPr>
        <w:t>) gå att afgöra en allmän angelägenhet, skall det utan tvifvel icke dröja länge, förrän man begär att på samma lättvindiga omröstningssätt få afgöra äfven andra allmänna angelägenheter. Jag för min del tror, att man bör betänka sig mer än en gång, innan man går med på något slags referendum.</w:t>
        <w:br/>
        <w:br/>
        <w:t>Jag ber att få yrka bifall till utskottsbetänkandet.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