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1136</w:t>
      </w:r>
    </w:p>
    <w:p>
      <w:r>
        <w:rPr>
          <w:b/>
        </w:rPr>
        <w:t xml:space="preserve">Datum: </w:t>
      </w:r>
      <w:r>
        <w:t>1910-03-17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Gustaf Kobb (Liberala riksdagspartiet, man)</w:t>
      </w:r>
    </w:p>
    <w:p>
      <w:r>
        <w:rPr>
          <w:b w:val="0"/>
        </w:rPr>
        <w:t>Herr talman, mina herrar! Då vi nu öfvergå att behandla klass II har jag i den motion, som jag tillsammans med ett fyrtiotal af kammarens ledamöter framlagt, vidrört frågan om den skattesats, som just upptages i denna klass. Vi ha nämligen föreslagit, att testamentstagare i allmänhet skola öfverflyttas från klass III till denna klass II. När man genomläser den kungl. propositionen, så kan man icke låta bli att uttrycka</w:t>
        <w:br/>
        <w:br/>
        <w:t xml:space="preserve">sin förvåning öfver, att icke här har vidtagits någon ändring i Om ändrad testamentstagares ställning. Dessa intaga dock nu en helt annan Ve kod 54 ställning än de gjorde förr. Hela vår nuvarande arfsrätt är ju 3g af stämalldeles tydligt en kvarlefva från den tid, då egendomen hufvudpelförordninsakligen utgjordes af jordegendom, hvilken det då framförallt gen. gällde att bevara inom släkten, ty det kunde tänkas, att den en = (Forts.) gång kommit från den gemensamma ättefadern. Förhållandena äro emellertid nu mycket förändrade. En förmögenhet i värdepapper, grängesbergare, sockeraktier eller dylikt, har aldrig haft något med ättefadern att göra. Men i samma mån detta inträdt, minskas också det berättigade i de aflägsna släktingarnas arfsrätt, och dess större frihet bör ju då den aflidne haft att efter godtfinnande förfoga öfver sin förmögenhet genom testamente. En sådan testamentstagare är då 1 regel en person, som stått den aflidne ganska nära. Det är kanske en vän, som stått vid hans sida under hans lefnad, det är kanske en fosterson eller </w:t>
      </w:r>
      <w:r>
        <w:rPr>
          <w:b/>
        </w:rPr>
        <w:t>fosterdotter²</w:t>
      </w:r>
      <w:r>
        <w:rPr>
          <w:b w:val="0"/>
        </w:rPr>
        <w:t xml:space="preserve">, som under de sista åren af hans lif ägnat honom en uppoffrande vård. Det är i hvarje fall en person, åt hvilken den aflidne har velat lämna en del eller hela sin kvarlåtenskap. Själfva testamentet är ju därpå ett bevis. Den aflägsne släktingen däremot är kanske en person, som den aflidne icke haft någon vetskap om och kanske aldrig någonsin sett, ja, det kan vara en person, till hvilken han aldrig stått i något vänskapligt förhållande och som kanske rent af varit hans bittraste fiende. Släkten är värst, säger ett gammalt ordspråk, och det är många som erfarit sanningen däraf. Men likväl kan ju slumpen göra en sådan person till arfvinge, och lagen gör ingen skillnad mellan honom och den aflidnes fosterbarn och trognaste vänner. Det har nog synts utskottet, att beträffande fosterbarn en billigare skatteskala vore berättigad, men den svenska lagstiftningen känner icke till detta begrepp »&gt;fosterbarn», och därför har man icke kunnat taga någon hänsyn till deras intressen härvidlag. Jag vågar emellertid hoppas, att denna kammare skall i detta fall se djupare än utskottets majoritet. Vi måste betänka, hvilken förändring hela författningen 1 detta afseende genomgått. Numera stå dock testamentstagare i en helt annan ställning än i forna tider, och på denna grund vågar jag hemställa, att kammaren måtte bifalla den reservation, som jag jämte flera andra medlemmar af utskottet afgifvit uti denna punkt. Denna reservation går ut på, att samtliga de testamentstagare, som i den kungl. propositionen stå upptagna i klass III, skola uppflyttas i klass IL Jag får sålunda hemställa, att öfverskriften vid klass II måtte erhålla följande ändrade lydelse: »För andel, som på grund af arf eller testamente tillkommer fader, </w:t>
      </w:r>
      <w:r>
        <w:rPr>
          <w:b/>
        </w:rPr>
        <w:t>moder²</w:t>
      </w:r>
      <w:r>
        <w:rPr>
          <w:b w:val="0"/>
        </w:rPr>
        <w:t xml:space="preserve">, broder (halfbroder), </w:t>
      </w:r>
      <w:r>
        <w:rPr>
          <w:b/>
        </w:rPr>
        <w:t>syster²</w:t>
      </w:r>
      <w:r>
        <w:rPr>
          <w:b w:val="0"/>
        </w:rPr>
        <w:t xml:space="preserve"> (halfsyster) eller broders (halfbroders) eller</w:t>
      </w:r>
    </w:p>
    <w:p>
      <w:pPr>
        <w:pStyle w:val="Heading2"/>
      </w:pPr>
      <w:r>
        <w:t>2. Jakob Byström (Liberala samlingspartiet, man)</w:t>
      </w:r>
    </w:p>
    <w:p>
      <w:r>
        <w:rPr>
          <w:b w:val="0"/>
        </w:rPr>
        <w:t>Herr talman! Såsom jag antydde i det korta anförande jag här nyss höll, önskar jag få en ändring till stånd beträffande de kategorier, som skola hänföras till klass II. Utskottet har i likhet med Kungl. Maj:t föreslagit, att den högsta skattesatsen, nämligen den, som utgår i klass III, skall påläggas donationer till kyrka, landsting, kommun eller hushållningssällskap. Enligt Kungl. Maj:ts förslag skulle äfven flera andra kategorier komma in under klass III, men dessa har utskottet ansett böra flyttas till klass II. Nu önskar jag, att äfven sådana donationer som de, jag här nyss uppräknade, måtte flyttas upp i klass II.</w:t>
        <w:br/>
        <w:br/>
        <w:t>Alltså skulle det yrkande, jag ber att få göra, bli följande:</w:t>
      </w:r>
    </w:p>
    <w:p>
      <w:pPr>
        <w:pStyle w:val="Heading2"/>
      </w:pPr>
      <w:r>
        <w:t>3. Aaby Ericsson (Det förenade högerpartiet, man)</w:t>
      </w:r>
    </w:p>
    <w:p>
      <w:r>
        <w:rPr>
          <w:b w:val="0"/>
        </w:rPr>
        <w:t>Herr talman, mina herrar! Jag tror, att det icke är lämpligt att gå herr Byströms anhållan till mötes, och detta just därför, att jag anser, att det ligger mera rättvisa uti bestämmelserna rörande donationer sådana, som utskottet föreslagit dem. Ty jag vill erinra kammaren därom, att donationer bli beskattade endast en gång, då däremot, när det gäller enskilda arftagare eller arfvingar, behållna arfslotten blir beskattad öfver hufvud taget en gång för hvarje generation. Det är sålunda enligt mitt förmenande icke mer än billigt, att staten tager litet mera af donationer vid det tillfälle, då den kan taga.</w:t>
        <w:br/>
        <w:br/>
        <w:t xml:space="preserve">Beträffande herr Kobbs förslag, må jag medgifva, att äfven jag känt mig tilltalad af åtskilligt 1 hans förslag, särskildt i hvad angår testamentariska dispositioner till fosterbarn och sådana, som stått den aflidne nära, t. ex. tjänare och </w:t>
      </w:r>
      <w:r>
        <w:rPr>
          <w:b/>
        </w:rPr>
        <w:t>tjänarinnor³</w:t>
      </w:r>
      <w:r>
        <w:rPr>
          <w:b w:val="0"/>
        </w:rPr>
        <w:t>. Men jag tror icke, att det är riktigt att nu gå med på hans förslag, ty i vissa fall står jag tveksam, om det kan vara rätt att sänka stämpeln i den utsträckning han föreslår. 'Hade man kunnat stanna vid någon sänkning för hvad som tillkomme tjänare och fosterbarn, skulle jag gärna velat vara med därom, men då vi beträffande fosterbarn för närvarande sakna lagstiftning rörande adoption, lär det i sådant afseende möta svårigheter att tillämpa</w:t>
        <w:br/>
        <w:br/>
        <w:t>en sådan förordning, och jag har därför icke heller i detta fall Om ändrad för närvarande kunnat gå motionärens önskan till mötes. Jydelse of VA Jag anhåller således, herr talman, om bifall till utskottets gg af stämförslag. pelförordningen. Herr Wijk: Herr talman! Jag skall också be att få hem- = (Forts. ställa om bifall till det yrkande, som framställts af herr Kobb. Jag gör det särskildt ur den synpunkten, att därigenom alla donationer skulle komma att öfverföras till klass II. I Kungl. Maj:ts förslag har skattesatsen för donationer, som förut utgått med högst 6 4, ökats till ett maximum af 12 4Z, d. v. s. fördubblats. Bevillningsutskottet har gjort en kompromiss på det sättet, att det undantagit vissa slag af donationer och fört dem öfver till klass II, medan utskottet däremot låtit andra donationer kvarstå i klass III, med den nedsättning i skattesatsen, som Kungl. Maj:t föreslagit. I den motion, jag väckt i detta afseende, har jag försökt göra gällande, att det är principiellt oriktigt att beskatta donationer efter samma synpunkter som enskildas arfsmedel. Jag skall icke här besvära kammaren med att upprepa de skäl jag anfört för den synpunkten, men jag vill påpeka, att i fråga om behandlingen af donationerna ha inom kammaren och utskottet mycket skiljaktiga meningar gjort sig gällande, och då jag i min motion väckt förslag om donationers undantagande från den lagstiftning, hvarom nu är fråga, på det att de med bibehållande under tiden af den gamla skatteskalan må nästkommande år upptagas till en grundlig behandling, så tror jag, att jag härmed anvisat den enda möjliga utvägen att förena de mycket skilda meningarna i frågan. Då emellertid efter det beslut Första kammaren fattat och med den ståndpunkt, som utskottet och reservanterna intagit, det torde vara lönlöst att framställa yrkande om bifall till motionen, så får jag, herr talman, för att göra det mesta möjliga för en nedsättning af stämpeln på donationer, anhålla att få förena mig i herr Kobbs yrkande.</w:t>
        <w:br/>
        <w:br/>
        <w:t>att icke vidtaga några åtgärder, på grund af hvilka enskilda</w:t>
        <w:br/>
        <w:br/>
        <w:t>att låta den gå till arfvingarne med hela sitt belopp.</w:t>
        <w:br/>
        <w:br/>
        <w:t>Nu inträffade emellertid, att 1894 skulle införas en skärpt arfsbeskattning, och då var det ingen, som förde dessa donationers talan; utan man resonerade som så, att de mest närskyllda skulle betala minst och de oskyllda mest. Med denna utgångspunkt var det ju klart, att donationer, det var oskyllda; och så kom det sig, utan att någon tänkte förnuftigt på saken, att dessa donationer, ifrån att hafva stått i den mest förmånliga ställningen, tvärt flyttades öfver i sämsta klass. Detta skedde som sagdt 1894; men sedan man så fått in dem i detta läge, är det nästan omöjligt att få dem tillbaka till en skälig ställning igen.</w:t>
        <w:br/>
        <w:br/>
        <w:t>Nu har här i Kungl. Maj:ts förslag och i utskottets förslag föreslagits visserligen en modifikation, så att de icke skulle stå i den nya sämsta klassen; men i alla fall skall för dem betalas ännu mera än nu, och dock är hvad som redan nu betalas alldeles för mycket. 1900 väckte jag, äfvensom en ledamot af Första kammaren, motioner i den här frågan, för att få de gamla förhållandena återinförda, d. v. s. få det så ordnadt, att donationer icke skulle beskattas högre än efter klass I; men i den gemensamma voteringen föll detta förslag. Jag vet själf af erfarenhet, hvilka svårigheter, som kunna möta på grund af dessa stämpelbeskattningar; vid våra motioners afgifvande 1900 hade vi just i tanke de fria högskolorna, Göteborgs och Stockholms. Det är ju lätt att inse, huru svårt det är för dessa institutioner, som skola lefva af enskilda donationer, om detta tillflöde af inkomster på något sätt hämmas. Man har också märkt, huru denna arfsbeskattning kan ha till följd, att donatorer nu tveka mycket mera, än de förut gjorde, att testamentera något. De tycka, att det är onödigt att nödgas betala ett så stort belopp som nu 6 och framdeles 8 procent till staten; och de låta då hellre det hela gå till släktingarna.</w:t>
        <w:br/>
        <w:br/>
        <w:t>Enligt herr Kobbs förslag blir det emellertid ej bättre, utan då blefve det till och med 12 4, ehuru visserligen endast på de högsta beloppen. Hela denna sak är försumpad och missvårdad och till det verkligt nyttiga har icke tagits någon hänsyn. Följden är, att man nu icke vet, hur man skall skall ställa sig till det här eländet — ty jag måste kalla det så — särskildt då situationen för närvarande är så ogynnsam här i kammaren. Jag skall därför, herr talman, icke göra något yrkande, och detta så mycket mindre, som det är mycket krångligt att få någon verklig öfverblick öfver saken i detta invecklade betänkande.</w:t>
        <w:br/>
        <w:br/>
        <w:t>Jag ber att få tillägga, att, då man redan 1894 på detta underliga sätt ändrade bestämmelserna rörande donationer stick</w:t>
        <w:br/>
        <w:br/>
        <w:t>i stäf mot hvad som var för landet nyttigt, man också tog sig Om ändrad före att föreskrifva, att gåfvor under lefvande lifvet skulle belydelse ot = läggas med viss beskattning; och det var ju ett lofligt syfte, ty &amp;g af stämman ville icke, att människor, genom att på förhand, medan de pelförordninlefde, skänka bort af sin förmögenhet, skulle kringgå den nya gen. lagen om arfsskatt. Men då följde af tanklöshet tyvärr dona- (Forts.) tionerna också med. Och donatorer, som vilja skänka något medan de lefva, äro ännu färre än de, som äro benägna att testamentera något, och draga sig ännu mera att göra några donationer, då de veta, att afsevärda belopp af hvad de skänka skola gå till statsverket. Jag vill därför uttala den förhoppningen, att, när nu nästa eller något följande år den frågan kommer före, hvilken beskattning skall läggas på gåfvor, som göras i lefvande lifvet, det då måtte tagas i öfvervägande, huruvida icke gåfvor till förmån för allmännyttiga ändamål måtte kunna bli helt och hållet befriade, allt naturligtvis under skäliga garantier, från den skatt, som 1894 pålades dem, så att man icke äfven i den punkten fortgår på samma väg som nu, och i likhet med reservanterna, Kungl. Maj:t och utskottet oupphörligen ökar på, år efter år.</w:t>
        <w:br/>
        <w:br/>
        <w:t>Jag har, herr talman, som sagdt, intet yrkande att göra; det skulle i alla fall icke blifva bifallet.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1136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