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1145</w:t>
      </w:r>
    </w:p>
    <w:p>
      <w:r>
        <w:rPr>
          <w:b/>
        </w:rPr>
        <w:t xml:space="preserve">Datum: </w:t>
      </w:r>
      <w:r>
        <w:t>1910-05-07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Erik Räf (Lantmanna- och borgarepartiet inom andrakammaren, man)</w:t>
      </w:r>
    </w:p>
    <w:p>
      <w:r>
        <w:rPr>
          <w:b w:val="0"/>
        </w:rPr>
        <w:t>Herr talman! Herr Berg i Göteborg har gentemot herr Meurling framhållit, att kyrkomötet i det stora hela är en institution, som arbetar för prästerskapets väl och välfärd. Herr Meurling sade, att kyrkomötet är en representation, icke för prästerskapet utan för svenska kyrkan, och andra hafva sagt — och detta tyckes mig mest öfverensstämma med verkliga förhållandet — att kyrkomötet är en institution, som arbetar till förmån för svenska folket.</w:t>
        <w:br/>
        <w:br/>
        <w:t>Det tjänar emellertid ingenting till att tvista om, hvad kyrkomötet är, ty det står i grundlagen och kyrkomötesförordningen, och dessa lagar kan hvar och en af oss läsa. Vill man hafva en ändring i</w:t>
        <w:br/>
        <w:br/>
        <w:t>» grundlagen och kyrkomötesförordningen, är detta en sak för sig, och</w:t>
        <w:br/>
        <w:br/>
        <w:t>då böra vi, såsom herr Meurling sade, vidtaga åtgärder så snart som möjligt.</w:t>
        <w:br/>
        <w:br/>
        <w:t>Vidare vill jag säga, att kyrkomötet icke rår för att man icke intresserar sig för valen till detsamma. Om herr Berg och jag och litet hvar intresserade sig för valen till kyrkomötet, torde vi kunna förutsätta ett kyrkomöte i den riktning vi önska. De frikyrkliga borde särskildt akta på denna sak, och är det så, att dessa frikyrkliga icke göra detta, kan det efter den diskussion, som här i dag blifvit förd, befaras, att kyrkomötet får en sådan sammansättning, att vi behöfva taga bort dess vetorätt. Ja, kyrkomötet kan få en sådan sammansättning, att vi behöfva sätta in det i litanian, i stället för att vi nu böra vara tacksamma för kyrkomötet och flera af dess åtgöranden. De frireligiösa i Jönköpings län ha sökt vara vakna vid valen till kyrkomötet, och detta har ledt till det resultat, att de två gånger å rad hafva satt in i kyrkomötet de frikyrkligas främste man i vårt land. Hvarför icke handla på samma sätt öfver hela landet, frågar jag de frireligiösa, till hvilka egentligen också jag hör.</w:t>
        <w:br/>
        <w:br/>
        <w:t>Man har anmärkt mot herr Meurling, att han uttalat ett misstroende mot kommande Riksdagar. Men hafva vi då icke någon liten anledning efter de diskussioner som förts här i Andra kammaren, efter de många motioner, som här blifvit väckta och efter de anföranden, som vi för icke så länge sedan hörde från Stockholmsbänken, hafva vi icke, säger jag, någon liten anledning till fruktan i detta afseende? Dessutom har vänstern en lång tid sagt, att den snart är vid makten, och detta hafva vi, som icke äro alltför snabbfotade vänstermän, gifvit akt på. Om vi skola tro på vänsterns uppgifter, lämnas därhän, men vänstern har emellertid ansett, att den hastigt och lustigt skulle komma till makten. Hvad skulle i så fall bli följden? Jo, det kan hvar och en räkna ut, som hört hvad som kommit från vänsterns vänstra flygel. Vi kunna läsa det i den motion som i dag ligger före. Det framgår äfven af den herr Starbäcks motion,</w:t>
        <w:br/>
        <w:br/>
        <w:t>som vi för någon tid sedan behandlade och af motioner, som önskat få plantera den röda fanan på våra kyrkogårdar tillsammans med korsets fana — ifall nu denna senare öfverhufvud taget får någon plats alls. Vi hafva märkt, att man i kyrkan i stället för det, som man därstädes är van att höra talas om, vill få föredrag hållna om kanske någon urcell eller om människosläktets härstamning från en vacker apa, 0. S. Vv.</w:t>
        <w:br/>
        <w:br/>
        <w:t>Nu säger man, att kyrkomötet bör tagas bort, emedan det icke är tidsenligt. Ja, i så fall tror jag, att man äfven får taga bort kristendomen såsom varande icke tidsenlig. Och när allt kommer omkring, är nog kyrkomötet otidsenligt just därför, att kristendomen står som grundval för dess och kyrkans bekännelse. För min del tror jag, att kristendomen under alla förhållanden är tidsenlig, och säkert är, att den kommer att visa sig tidsenlig för framtiden, men detta gäller icke med säkerhet om de öfriga åsikter, som allt emellanåt göra sig gällande här i kammaren.</w:t>
        <w:br/>
        <w:br/>
        <w:t>Jag vill nu öfvergå till själfva motionen. Mellanpartiet af densamma är så grundligt behandladt af utskottet, att detsamma kan sägas vara upplöst och bortblåst, och jag behöfver därför icke sysselsätta mig därmed. Herr biskop von Schéele har i näst första delen af motionen påvisat ett misstag, hvaråt jag förmodar kammaren skänkte sin uppmärksamhet. Jag skall sysselsätta mig endast med dess första rader och därefter dess sista rader, hvilka icke behandlats af utskottet eller någon talare. Motionären säger: »Det väckte häpnad inom vida kretsar af vårt folk, då förra årets kyrkomöte afslog det af Riksdagen samma år antagna förslaget till ny lag om prästval». — Det synes hafva kommit därhän i vårt land, att, om man får se, att en institution eller en person verkligen äger den själfständighet och sedliga kraft att han kan säga nej eller ja till en sak, detta väcker häpnad. Om kyrkomötet äger nog sedlig kraft och pröfningsförmåga att med stöd af svensk grundlag och kyrkomötesförordningen säga nej, så skulle detta väcka häpnad och förvåning hos motionären! Vid tiden för senaste kyrkomöte var jag tillsammans med åtskilliga prästmän, men ingen af dem uttryckte någon häpnad. Ingenstädes 1 vår tidningspress inom landet har jag heller sett uttalas någon häpnad. Måhända uppstod det någon häpnad i Folkets hus, där jag sällan vistas, men i så fall torde det varit en häpnad med glädje och icke med sorg.</w:t>
        <w:br/>
        <w:br/>
        <w:t>Emellertid är det öfver hufvud taget likgiltigt, om det väckte häpnad eller icke, utan frågan är: Fanns det verklig orsak till en sådan häpnad? Jag ber att återigen få betona kyrkomötets grundlagsenliga rättighet. Hos kyrkomötet stodo nu två förslag mot hvarandra. Det ena var Kungl. Maj:ts och det andra kyrkolagsutskottets förslag. Med Kungl. Maj:ts förslag var icke ens justitieministern riktigt belåten. Han yttrade rent af nästan positivt, att han önskade åtskilliga förändringar i detsamma. Vidare var det icke mer än sju talare, som yrkade bifall till Kungl. Maj:ts förslag, och särskildt</w:t>
        <w:br/>
        <w:br/>
        <w:t>anmärkningsvärdt är, att icke ens herr Daniel Persson i Tällberg, som var medlem af kyrkomötet och hade sin egen reservation, som så nära anslöt sig till Kungl. Maj:ts förlag, att den betraktades som en brygga från kyrkomötet till Riksdagen, fann sig föranlåten att yrka bifall till Kungl. Maj:ts förslag eller till sin egen reservation. Detta kan bestyrkas genom att slå upp boken som ligger här bredvid mig, så att det tjänar till ingenting att disputera härom. Däremot var det icke mindre än 30 talare, som yrkade bifall till kyrkolagsutskottets förslag, och af dessa var mer än hälften lekmän. Dessa lekmän, som äro valda efter samma grunder som hvar och en ibland oss, måtte väl representera något annat än prästerskapet. Misstager jag mig icke alltför mycket, representera de svenska folket, ifall svenska folket infunnit sig vid valet. Om det icke gjort det, är skulden svenska folkets och icke kyrkomötets. Ibland dem, som voro mot Kungl. Maj:ts och för kyrkolagsutskottets förslag, var det två af de största svenska missionssällskapens, Evangeliska fosterlandsstiftelsens och Svenska missionsförbundets allra främsta män, hvilket borde äga någon betydelse för de kristligt intresserade. Den ene af dessa var lektor Waldenström. Han gjorde visserligen icke något bestämdt yrkande, men hvar och en, som vill läsa protokollet, kan tydligt se, hvart han syftade. Den andre, som också gick med på kyrkolagsutskottets förslag, var general Rappe. Jag frågar nu: behöfver det, då man har kyrkolagen och regeringsformen framför sig, väcka häpnad, att kyrkomötet handlat på sätt det gjort i detta fall? Hvarken Justitieministern eller någon af de framstående personer jag omnämnt var belåten med detta Kungl. Maj:tsförslag, och röstade hvar och en efter sin egen öfvertygelse.</w:t>
        <w:br/>
        <w:br/>
        <w:t>Hvad vidkommer kyrkomötets tillkomst skall jag gå förbi denna sak, enär det, som motionären i detta stycke anfört, blifvit kompletteradt genom utskottets utlåtande. Jag tycker, att motionären bör vara tacksam mot konstitutionsutskottet för att det begagnat dessa ord, »fullständiga» och »komplettera» etc.</w:t>
        <w:br/>
        <w:br/>
        <w:t>Jag skall nu öfvergå till motionens sista rader, ty det måtte väl vara något riktigt och komplett i densamma. På 16 sidan står: »Två gånger ha Riksdagens Andra kammare med stor majoritet fattat beslut om upphäfvande af viss del af kyrkomötets vetorätt». Huru förhåller det sig nu med denna sak? Jo, äfven den behöfver kompletteras. År 1885 afslog Första kammaren utan votering väckt förslag om upphäfvande af kyrkomötets vetorätt, och Andra kammaren biföll detsamma med 103 röster mot 94. Detta skulle sålunda vara den stora majoritet, hvarom motionären talar. Sista gången denna fråga var före var år 1894. Första kammaren afslog då framställningen med 79 röster mot 27 och Andra kammaren med 119 röster mot 82. Hvart hade majoriteten då tagit vägen? Tager jag båda kamrarna tillsammans, afslogs sålunda denna gång motionen med 198 röster mot 109. Så förhåller det sig med majoriteten.</w:t>
        <w:br/>
        <w:br/>
        <w:t>Jag öfvergår nu till reservationen och får beträffande densamma</w:t>
        <w:br/>
        <w:br/>
        <w:t xml:space="preserve">säga, att det är så äkta liberalt, som dessa reservanter skrifva och Angående handla, att jag knappast någonsin förut sett någonting så äkta och fören Sc genuint liberalt. De ha nämligen formellt alldeles tagit afstånd från sr oh 3 motionärens framställning. Var det månne för dem möjligt att gå samt 88 och med på ett socialdemokratiskt förslag? Nej, visst icke. I sak ll4 regerings däremot hafva de, såsom redan påpekats af biskop von Schéele och Formen: motionären själf och äfven tyckes erkännas från liberalt håll, full- (Forts.) ständigt gått med på den socialdemokratiska framställningen. Detta är så betecknande, så betecknande, som någonting kan vara. Jag förmodar, att det varit det goda svenska folket som knackat på öronporten och frågat efter, huru liberalerna egentligen ställa sig till saken, och därför ha de styrt om så att de, då de komma ut i bygderna, kunna säga: Vi kunde naturligtvis icke vara med om det socialdemokratiska förslaget i denna sak, utan vi hafva varit själfständiga och hafva vårt eget förslag — ett förslag, som i sak är det samma som socialisternas! Jag kan förstå en framställning, som talar om en skilsmässa mellan stat och kyrka eller om en utredning angående en dylik skilsmässa, men jag kan icke förstå, huru man kan tänka sig, att samhället skall hafva en kyrka med en religion, hvars innehåll skall bestämmas af den svenska Riksdagen. Det blefve ungefär som i den gamla tiden, då senaten skulle bestämma äfven öfver religionen. Jag tänker mig för öfrigt, att religion och kristendom lyfta sig så högt öfver vårt plan, att vi få finna oss i, att det är någon annan, som tolkar deras innebörd än vore det ock Riksdagens båda kamrar. Jag föreställer mig alltid, då en sådan sak kommer fram, 1 denna kammare, att afsikten är att gifva kyrkan ett annat innehåll än det </w:t>
      </w:r>
      <w:r>
        <w:rPr>
          <w:b/>
        </w:rPr>
        <w:t>hon²</w:t>
      </w:r>
      <w:r>
        <w:rPr>
          <w:b w:val="0"/>
        </w:rPr>
        <w:t xml:space="preserve"> har, och att, sedan man vederbörligen försvagat </w:t>
      </w:r>
      <w:r>
        <w:rPr>
          <w:b/>
        </w:rPr>
        <w:t>henne²</w:t>
      </w:r>
      <w:r>
        <w:rPr>
          <w:b w:val="0"/>
        </w:rPr>
        <w:t xml:space="preserve"> till den grad, att </w:t>
      </w:r>
      <w:r>
        <w:rPr>
          <w:b/>
        </w:rPr>
        <w:t>hon²</w:t>
      </w:r>
      <w:r>
        <w:rPr>
          <w:b w:val="0"/>
        </w:rPr>
        <w:t xml:space="preserve"> icke mäktar något vidare, det är meningen att, såsom man gjort i Frankrike, gifva </w:t>
      </w:r>
      <w:r>
        <w:rPr>
          <w:b/>
        </w:rPr>
        <w:t>henne²</w:t>
      </w:r>
      <w:r>
        <w:rPr>
          <w:b w:val="0"/>
        </w:rPr>
        <w:t xml:space="preserve"> en spark, så att </w:t>
      </w:r>
      <w:r>
        <w:rPr>
          <w:b/>
        </w:rPr>
        <w:t>hon²</w:t>
      </w:r>
      <w:r>
        <w:rPr>
          <w:b w:val="0"/>
        </w:rPr>
        <w:t xml:space="preserve"> kommer så långt bort som möjligt. Det kan hända, att vi under tiden få se de vackra prydnaderna på våra torn nedtagna såsom icke passande i stycket. Man har på våra grafvar tagit bort korsen, ty de passade icke heller i stycket. De vackra inskriptionerna har man i Frankrike, om man får tro tidningarna, måst smeta öfver, ty ej heller de passa i stycket. Vi veta, hur det gått i Frankrike, och det vore märkvärdigt, om icke hvar och en, som kan se aldrig så litet framför sig, måste inse, att vi äro inne på samma bana, om vi följa denne motionär och många af hans medintresserade. Och jag ber få säga, att kyrkan — jag skall icke begagna ordet »statskyrkan» — när allt kommer omkring för närvarande torde vara den buffert, som får taga emot de svåraste slagen, och det kan hända, att de så kallade läsarna eller frikyrkliga, eller hvad man nu' bör kalla dem, böra vara mycket försiktiga, då det gäller sådana saker, på det att icke de i sin tid måtte få känna just det, som kyrkan för närvarande får känna i så förfärande grad. Nu får jag säga, att en sådan åsikt och syn på tingen förnam man</w:t>
        <w:br/>
        <w:br/>
        <w:t>äfven från de frikyrkligas sida, då denna fråga var före år 1894, och jag tror, att det skulle hafva verkat mycket uppfriskande på många af dessa frikyrkliga, om de, innan de gingo hemifrån i morse, läst igenom diskussionsprotokollet från år 1894 och sett sin egen lärofaders framställning af denna sak. Det skulle säkerligen hafva haft den följden, att det från det hållet icke fallit många röster för upphäfvandet af ifrågavarande veto.</w:t>
        <w:br/>
        <w:br/>
        <w:t>På grund af hvad jag nu anfört, skall jag utan vidare, herr talman, be att få yrka bifall till utskottets hemställan.</w:t>
      </w:r>
    </w:p>
    <w:p>
      <w:pPr>
        <w:pStyle w:val="Heading2"/>
      </w:pPr>
      <w:r>
        <w:t>2. Jakob Byström (Liberala samlingspartiet, man)</w:t>
      </w:r>
    </w:p>
    <w:p>
      <w:r>
        <w:rPr>
          <w:b w:val="0"/>
        </w:rPr>
        <w:t>Det förekom några punkter i den siste ärade talarens framställning, som gifva äfven mig anledning att yttra mig i saken.</w:t>
        <w:br/>
        <w:br/>
        <w:t>Först vill jag med anledning af yttrandet, att denna fråga skulle vara framdragen inför kammaren af den yttersta vänstern säga, att det denna gång kan så vara, därför att t. ex. herr Kristensson, som tillhör ett vänsterparti häri kammaren, har väckt motionen om saken. Men vi böra i allt fall komma ihåg, att det är ett gammalt spörsmål, som ganska länge stått på programmet för många af de frisinnade här i landet.</w:t>
        <w:br/>
        <w:br/>
        <w:t>Vidare vill jag äfven erinra om, att man icke bör anse meningarna om kyrkomötets veto vara liktydiga med, huru man ställer sig till kristendomens frågor i allmänhet. Liksom somliga kunna anse, att de, som hålla fast vid kyrkomötets veto, måste anses vara de renlärigaste och mest allvarliga i kyrkliga frågor, kunna vi anse, att de, som vilja hafva bort kyrkomötets veto, äfven kunna vara lika varma religionsvänner.</w:t>
        <w:br/>
        <w:br/>
        <w:t>Vidare har äfven något mera än blott frågan om kyrkomötets veto tillkommit under senaste tider. Så t. ex. har ju mycket allvarligt framställts frågan om kyrkans skiljande från staten, därom hafva vi förut erinrat, och därom har redan under denna debatt åter erinrats. Borttagandet af kyrkomötets vetorätt är, synes mig, ett af de steg, som komma att leda åt det hållet, och jag är öfvertygad om, att vederbörande myndigheter förr eller senare måste vidtaga åtgärder för att på bästa möjliga sätt få denna skilsmässa verkställd. De, som gå så långt, att de äro för kyrkans skiljande från staten, kunna naturligtvis icke vara af någon vidare skiljaktig mening i fråga om kyrkomötets veto,som ju är blott en liten del af den stora frågan. Med dessa ord anser jag, att min mening bör vara klar, hur man bör ställa sig till frågan om kyrkomötets veto.</w:t>
        <w:br/>
        <w:br/>
        <w:t>Men då det genom några yttranden bragts på tal, huru de frikyrkliga kunna ställa sig till saken, och då särskildt en talare har omnämnt den frikyrkliga rörelsens främste man här i landet och åberopat hans auktoritet i detta afseende, skulle jag vilja gifva en antydan om, hur han tänkeri fråga om statskyrka och frikyrka, hvilken fråga ju är den större, under det att frågan om kyrko-</w:t>
        <w:br/>
        <w:br/>
        <w:t>mötets veto är den mindre. Vid det senaste stora möte, som de Angående frikyrkliga hade här i hufvudstaden, hvarvid närvoro representanter dclee af Sö för alla de ledande frikyrkliga samfunden här i landet, var äfven äcee al 85 frågan om skilsmässa mellan stat och kyrka före. Då fattades samt 88 och efter ett af vederbörande utskott, som bestod af medlemmar af 114 regeringsalla dessa mera betydande frikyrkosamfund, utarbetadt förslag i formen. ärendet, hvilket förslag äfven underställdes lektor P. Waldenströms (Forts.) pröfning, följande resolution, som jag tillåter mig läsa upp, då den kan vara belysande för den fråga, som nu föreligger. — Yttrandet är icke så långt. — »Andra frikyrkomötet, som väl erkänner den betydelse, som svenska statskyrkan haft för vårt folk, måste dock såsom sin åsikt uttala, att denna kyrkoform är obiblisk, att den icke längre uppbäres af den allmänna meningen och att följaktligen upplösningen af det nu bestående bandet mellan stat och kyrka är önskvärd och måste blifva nödvändig. Men om denna upplösning icke skall ske på ett våldsamt sätt, synes det mötet, att de kyrkliga myndigheterna så snart som möjligt böra vidtaga åtgärder, som kunna leda till en lugn afveckling.</w:t>
        <w:br/>
        <w:br/>
        <w:t xml:space="preserve">Mötet uttalar vidare såsom sin åsikt, att staten under andra och lämpligare former bör värna om och vårda religionen. Men när det gäller Kristi kyrka och församling, bör den få verka eller utveckla sig — oberoende af staten — enligt sin inneboende andliga lifskraft och i öfverensstämmelse med de lagar, som Herren i den heliga skrift förelagt </w:t>
      </w:r>
      <w:r>
        <w:rPr>
          <w:b/>
        </w:rPr>
        <w:t>henne²</w:t>
      </w:r>
      <w:r>
        <w:rPr>
          <w:b w:val="0"/>
        </w:rPr>
        <w:t>.»</w:t>
        <w:br/>
        <w:br/>
        <w:t>Det är ju klart, att de, som hysa dessa åsikter, äfven komma att ganska enigt ställa sig på deras sida, som gå med på att här utbyta ordet »samtycke» mot ordet »utlåtande». Det är i allt fall en rimlig och icke våldsam åtgärd, och den går i den riktning, som jag anser önskvärd äfven för statskyrkoförhållanden och som jag tror omfattas af många.</w:t>
        <w:br/>
        <w:br/>
        <w:t>Med dessa ord har jag velat beledsaga mitt yrkande, i hvilket jag instämmer med dem, som på sidan 10 i betänkandet reserverat sig, nämligen herrar af Callerholm, Beckman och Ericsson, hvadan alltså mitt yrkande går ut på, att det uttryck, jag nämnde, måtte utbytas mot ett mildare, eller med andra ord på bifall till denna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1145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