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1147</w:t>
      </w:r>
    </w:p>
    <w:p>
      <w:r>
        <w:rPr>
          <w:b/>
        </w:rPr>
        <w:t xml:space="preserve">Datum: </w:t>
      </w:r>
      <w:r>
        <w:t>1910-05-07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Starbäck (Lantmanna- och borgarepartiet inom andrakammaren, man)</w:t>
      </w:r>
    </w:p>
    <w:p>
      <w:r>
        <w:rPr>
          <w:b w:val="0"/>
        </w:rPr>
        <w:t>Herr talman! Jag säger väl som min kamrat herr Hellström nyss sade, att emot ett enigt bankoutskott lär väl föga utsikt finnas för mig att vinna gehör; men jag anser dock, att denna fråga är af den beskaffenhet, att jag vågar mig på ett litet försök.</w:t>
        <w:br/>
        <w:br/>
        <w:t xml:space="preserve">Såsom herrarna finna af de här föreliggande papperna, inträffade det genom 1904 års läroverksreform, att en del enskilda läroverk drogos in, eller snarare att de upphörde och i realiteten blefvo ersatta med statsläroverk. Följden däraf blef, att en del </w:t>
      </w:r>
      <w:r>
        <w:rPr>
          <w:b/>
        </w:rPr>
        <w:t>lärarinnor³</w:t>
      </w:r>
      <w:r>
        <w:rPr>
          <w:b w:val="0"/>
        </w:rPr>
        <w:t xml:space="preserve"> måste upphöra med sina befattningar och därigenom beröfvades den sysselsättning, som gifvit dem deras lifsuppehälle. På grund häraf anslog 1907 års Riksdag 4,000 kronor, hvilka under vissa förbehåll skulle utdelas till sådana </w:t>
      </w:r>
      <w:r>
        <w:rPr>
          <w:b/>
        </w:rPr>
        <w:t>lärarinnor³</w:t>
      </w:r>
      <w:r>
        <w:rPr>
          <w:b w:val="0"/>
        </w:rPr>
        <w:t xml:space="preserve">, dock att högsta bidraget från statens sida skulle vara 400 kronor; och sattes såsom vilkor, att genom kommunen eller på annat sätt lika mycket skulle gifvas åt hvar och en af dessa </w:t>
      </w:r>
      <w:r>
        <w:rPr>
          <w:b/>
        </w:rPr>
        <w:t>lärarinnor³</w:t>
      </w:r>
      <w:r>
        <w:rPr>
          <w:b w:val="0"/>
        </w:rPr>
        <w:t>.</w:t>
        <w:br/>
        <w:br/>
        <w:t xml:space="preserve">Nu är förhållandet det, att en del af dessa </w:t>
      </w:r>
      <w:r>
        <w:rPr>
          <w:b/>
        </w:rPr>
        <w:t>lärarinnor³</w:t>
      </w:r>
      <w:r>
        <w:rPr>
          <w:b w:val="0"/>
        </w:rPr>
        <w:t xml:space="preserve"> af sin kommun fått mera än 400 kronor, ja, en skollärarinna i Trelleborg har af sin kommun till och med fått 750 kronor i pension. Följden har nu blifvit den, att Kungl. Maj:t så tolkat Riksdagens skrifvelse, att denna </w:t>
      </w:r>
      <w:r>
        <w:rPr>
          <w:b/>
        </w:rPr>
        <w:t>lärarinna³</w:t>
      </w:r>
      <w:r>
        <w:rPr>
          <w:b w:val="0"/>
        </w:rPr>
        <w:t xml:space="preserve"> af staten erhållit endast 50 kronor.</w:t>
        <w:br/>
        <w:br/>
        <w:t>fyra förutvarande föreståndarinnors</w:t>
        <w:br/>
        <w:br/>
        <w:t xml:space="preserve">Andra </w:t>
      </w:r>
      <w:r>
        <w:rPr>
          <w:b/>
        </w:rPr>
        <w:t>lärarinnor³</w:t>
      </w:r>
      <w:r>
        <w:rPr>
          <w:b w:val="0"/>
        </w:rPr>
        <w:t xml:space="preserve"> hafva under sin krafts dagar bidragit till sin egen pensionering, så att de nu hafva en liten pension uti olika pensionsinrättningar. De, som på detta sätt varit framsynta nog att</w:t>
        <w:br/>
        <w:br/>
        <w:t>vid elementar- Söka själfva betrygga sin ålderdom, någonting som väl vore värdt en skolor för belöning, de få af staten mindre bidrag än de, som icke alls tänkt på</w:t>
        <w:br/>
        <w:br/>
        <w:t>sin framtid, utan hoppats på, som man säger — ja, vi kunna ju ändra satsen — Riksdagens försyn. Detta förefaller mig ganska märkvärdigt; och det synes mig, som om väl resultatet af detta resonemang borde blifvit ett helt annat än det, som bankoutskottet kommit till, hvilket för öfrigt icke är något resonemang alls. Det synes ju, som om man borde sagt: det är väl ändå bra hårdt, att de personer, som själfva bidragit till sin pensionering, få mindre bidrag af staten än de, som icke alls hafva gjort det.</w:t>
        <w:br/>
        <w:br/>
        <w:t>Sakförhållandet är alltså i korthet det, att de peroner, om hvilka det här är fråga, de hafva, efter mer än 30 års arbete i det allmännas tjänst — ty det kan man väl ändå säga, att dessa'gamla skolmamseller tjänat det allmänna hvar på sin ej alltför angenäma post — icke själfförvålladt, utan på grund af statens ingripande, tidigare än annars skulle hafva skett, blifvit beröfvade möjligheten att själfva förtjäna sitt lifsuppehälle. Somliga af dessa hafva genom framsynthet fått en liten pension på äldre dagar; och därför ger staten dem mindre af det som Riksdagen beviljat. Det förefaller mig,som om Riksdagen verkligen här skulle kunna göra en god gärning. Det gäller inalles att öka den årliga budgeten med 998 kronor 58 öre; och då bli fyra gamla skollärarinnor synnerligen belåtna med Riksdagens åtgörande.</w:t>
        <w:br/>
        <w:br/>
        <w:t>Jag kan, som sagdt, icke finna, att bankoutskottet härvidlag egentligen presterat något resonemang alls. Det endast relaterar, hvad som uti Riksdagens förhandlingar och i den förberedande behandlingen förekommit, och på grund af detta säger utskottet:</w:t>
        <w:br/>
        <w:br/>
        <w:t xml:space="preserve">»Då emellertid detta», d. v. s. ett bifall till motionen, »skulle stå i strid med den förutsättning, hvarunder de ifrågavarande statsbidragen af Riksdagen så sent som år 1907 beviljats, och några omständigheter, som kunde föranleda till ändring däri, icke synas hafva sedermera tillkommit, anser utskottet sig förhindradt att biträda motionärens förslag». — Uttrycket »så sent som» tyckes gifva vid handen, att, om någon af de här </w:t>
      </w:r>
      <w:r>
        <w:rPr>
          <w:b/>
        </w:rPr>
        <w:t>lärarinnorna³</w:t>
      </w:r>
      <w:r>
        <w:rPr>
          <w:b w:val="0"/>
        </w:rPr>
        <w:t xml:space="preserve"> — de äro nu väl boråt 70 år gamla — får lefva en 10 å 15 år till och det sålunda förflutit tillräckligt lång tid sedan 1907, Riksdagen då möjligtvis kan börja att fundera på att hjälpa dem. Det resonemanget är för mig mycket obegripligt. Jag tror, att det vore riktigt, att, därför att de gjort en god lifsgärning, därför att de utan eget förvållande förlorat möjligheten att själfva förtjäna sitt uppehälle, Riksdagen här bifölle min motion, till hvilken jag, herr talman, tillåter mig att yrka bifall.</w:t>
      </w:r>
    </w:p>
    <w:p>
      <w:pPr>
        <w:pStyle w:val="Heading2"/>
      </w:pPr>
      <w:r>
        <w:t>2. Ivan Svensson (Första kammarens nationella parti, man)</w:t>
      </w:r>
    </w:p>
    <w:p>
      <w:r>
        <w:rPr>
          <w:b w:val="0"/>
        </w:rPr>
        <w:t>Herr talman! Det förslagsanslag, som Riksdagen 1907 beviljade såsom pensionsbidrag åt lärarin-</w:t>
        <w:br/>
        <w:br/>
        <w:t xml:space="preserve">nor vid enskilda läroverk, uppgick till 4,000 kronor. Det tillkom ju Angående endast i syfte att garantera dessa </w:t>
      </w:r>
      <w:r>
        <w:rPr>
          <w:b/>
        </w:rPr>
        <w:t>lärarinnor³</w:t>
      </w:r>
      <w:r>
        <w:rPr>
          <w:b w:val="0"/>
        </w:rPr>
        <w:t xml:space="preserve"> ett existensminimum af fYrz £ örat 800 kronor om året; och har bankoutskottet nu resonerat som så, rr ere att när detta existensminumum är fylldt, så föreligger icke längre vid elementarnågot trängande behof att bevilja något mera, utan kunde man då skolor för stanna vid det anslagsbelopp, som förut utgått. Då det gäller att fr fylla ett existensminimum, är det nämligen ganska likgiltigt, hvar- Forte” | ifrån detta minimum kommer, om det utgår af kommunens medel (ror) eller från andra tillgångar, blott staten tillser, att existensminimum blir fylldt.</w:t>
        <w:br/>
        <w:br/>
        <w:t>Jag kan därför icke finna annat, än att utskottet haft ganska goda skäl för sitt enhälliga afstyrkande af herr Starbäcks motion; och jag ber, herr talman, att få yrka bifall till utskottets hemställan.</w:t>
      </w:r>
    </w:p>
    <w:p>
      <w:pPr>
        <w:pStyle w:val="Heading2"/>
      </w:pPr>
      <w:r>
        <w:t>3. Karl Starbäck (Lantmanna- och borgarepartiet inom andrakammaren, man)</w:t>
      </w:r>
    </w:p>
    <w:p>
      <w:r>
        <w:rPr>
          <w:b w:val="0"/>
        </w:rPr>
        <w:t xml:space="preserve">Ja, de goda skälen, herr talman, mina herrar, äro inga andra, än att statskontoret också framhållit, hvad nu bankoutskottets vice ordförande framhöll. Men jag vill fästa uppmärksamheten på, hvilket också bankoutskottet mycket hyggligt och ärligt framhållit, att i Riksdagens skrifvelse något sådant villkor icke står intaget, utan endast det villkoret, att kommun eller enskild skall ge 400 kronor. Det vill med andra ord säga, att af detta förslagsanslag skall till hvarje </w:t>
      </w:r>
      <w:r>
        <w:rPr>
          <w:b/>
        </w:rPr>
        <w:t>lärarinna³</w:t>
      </w:r>
      <w:r>
        <w:rPr>
          <w:b w:val="0"/>
        </w:rPr>
        <w:t xml:space="preserve"> icke gifvas mera, än </w:t>
      </w:r>
      <w:r>
        <w:rPr>
          <w:b/>
        </w:rPr>
        <w:t>hon²</w:t>
      </w:r>
      <w:r>
        <w:rPr>
          <w:b w:val="0"/>
        </w:rPr>
        <w:t xml:space="preserve"> på annat sätt fått. Det är det enda villkor, som står intaget i Rikdagens skrifvelse, och på grund af denna skrifvelse finnes sålunda icke något hinder för kammaren att bifalla min motion.</w:t>
        <w:br/>
        <w:br/>
        <w:t>Jag tror ändå, att man ännu så länge anser, att ett belopp af 800 kronor kan vara tillräckligt existensminimum.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