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1158</w:t>
      </w:r>
    </w:p>
    <w:p>
      <w:r>
        <w:rPr>
          <w:b/>
        </w:rPr>
        <w:t xml:space="preserve">Datum: </w:t>
      </w:r>
      <w:r>
        <w:t>1910-05-26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Jag får framhålla, att herr Stendahl har tillåtit sig att inom en kammare, där jag icke har ordet, uttala en förolämpning, som gått igenom hela pressen såsom det enda referat, som gifvits af min reservation, och jag har rättighet att försvara mig och säga, hvad det är för en person, och jag gör det. — Å nej, det skall finnas någon rättvisa i den här församlingen också.</w:t>
        <w:br/>
        <w:br/>
        <w:t>Det var då jag utvecklade skälen för ett motionsvis framställdt yrkande i norrlandsfrågan. Blottande en afgrund af obekantskap med ämnet, kommenderade herr Stendahl i alla fall frankt, att allt tal om missförhållanden i anledning af ett förefintligt bolagsvälde och hvad för öfrigt till stöd för motionen utvecklats endast var löst prat, fraser och ovederhäftighet. Jag förstår så väl, att herr Stendahls uppträdande i denna fråga äfven är ett sedligt utslag af hans sedliga harm öfver hvad som vederfarits honom i lagutskottet.</w:t>
        <w:br/>
        <w:br/>
        <w:t>Den nu ifrågavarande episoden för ovillkorligen i tankarna polisdomarens i Stockholm nyligen fällda yttrande, att för att väcka och utveckla rättsmedyvetandet inom poliskåren behöfvas polisskolor, som bestämdt inriktas på att utbilda sina elever till omdömesgilla personer. Jag tänker också för min del på framställningarna vid denna riksdag om vikten att i administrationen skapa en medborgerlig anda i stället för den härskande byråkratiska andan samt om en reform af den administrativa makten i syfte att den må byggas på folklig grund och vinna förutsättningar att kunna verka med insikt i samhällsfrågorna och intresse för de sociala missförhållandenas undanröjande.</w:t>
        <w:br/>
        <w:br/>
        <w:t>Då genom tidningspressen herr Stendahls referat i Första Angående kammaren af min reservation benäget spridts i vidaste kretsar ändrad lydel- 2 3 . = LR - ot) 8e Af 18 kap. såsom den enda vägledningen i kännedom om dess innehåll, 138 straf. vågar jag, då genmälen ju ej lära förvägras, anhålla, att denna Iagen. min gensaga måtte genom pressens representanters på denna (Forts.) kammares referentläktare försorg benäget införas ordagrant i alla tidningar, som innehållit herr Stendahls angrepp.</w:t>
        <w:br/>
        <w:br/>
        <w:t>Ja, hvad nu angår själfva den föreliggande saken, så vill jag villfara herr talmannens önskan att återgå till densamma, fastän jag icke tänkt göra det. Jag vill då säga blott ett par ord.</w:t>
        <w:br/>
        <w:br/>
        <w:t xml:space="preserve">Herr justitieministern anmärkte mot min reservation, att jag där hade erinrat om, att ledande grundsatser saknas för det föreliggande lagförslaget. Jag måste vidhålla, att det just är de ledande principerna, som vi här för närvarande sakna. Man har icke fått något uppslag till, huruvida lagförslaget och den officiella moral, den uppfattning, som ligger bakom detsamma, helt och hållet ogilla preventivmedlen under alla förhållanden. Vi ha icke fått veta, huru de skola förhålla sig i lefvande lifvet, alla dessa klasser, som nu inskränka barnantalet, och huruvida detta är något orätt af dem. Vi ha ej heller fått veta, hur människorna skola ordna sig i fråga om missförhållanden i äktenskapet särskildt med hänsyn till det stora antalet ogifta vuxna män och </w:t>
      </w:r>
      <w:r>
        <w:rPr>
          <w:b/>
        </w:rPr>
        <w:t>kvinnor¹</w:t>
      </w:r>
      <w:r>
        <w:rPr>
          <w:b w:val="0"/>
        </w:rPr>
        <w:t>. Vi skulle vara tacksamma för att af herr Thyrén få upplysning om, huruvida han vid sin blifvande strafflagsreform tänker bibehålla straffet för lönskaläge, eller hur han tänker, att saken skall ordnas. Med de rashygieniska synpunkterna är det på samma sätt, och de fattiga klasserna, som särskildt i städer och industrisamhällen lida under de största missförhållanden, skola undra öfver, om de fortfarande böra skaffa undernärda och sjukliga barn till världen och om icke de också, liksom de förmögna, skola få taga hänsyn till familjens ekonomi. Alla dessa frågor bör man ha utredda och få någon kännedom om, hur den officiella moralen ställer sig till dem.</w:t>
        <w:br/>
        <w:br/>
        <w:t>A andra sidan undrar man, om icke särskildt herr Thyréns åskådning i själfva verket bottnar i den obegränsade barnalstringen, i något som man skulle kunna kalla kaninismen. Det är också en viktig fråga. Mången är anhängare af en sådan hänsynslös barnalstring när, hvar och hur det sker, men många anse den vara omoralisk eller åtminstone skadlig.</w:t>
        <w:br/>
        <w:br/>
        <w:t>Hvad nu särskildt detta lagförslag angår, så är det alldeles klart, att det gör föga från eller till, och det framträder väl ej heller med anspråk på att göra det. De stora frågorna löser det icke på något sätt, utan det lefvande lifvet kommer att gå sin gång som förut.</w:t>
        <w:br/>
        <w:br/>
        <w:t>I den kungl. propositionen har angifvits, att den viktigaste punkten i lagförslaget är andra punkten i andra stycket af paragrafen. Här har Kungl. Maj:t uttryckligen velat framföra, att</w:t>
        <w:br/>
        <w:br/>
        <w:t xml:space="preserve">straffbar skulle vara allt slags undervisning om preventivmedel, så snart det kan antagas, att allmän fara för andras förförelse däraf kommer. Det kan icke undvikas, att hvarje, äfven den lojalaste, undervisning kan falla under lagen. Den omnämnda bok, som utgifvits af två </w:t>
      </w:r>
      <w:r>
        <w:rPr>
          <w:b/>
        </w:rPr>
        <w:t>kvinnliga¹</w:t>
      </w:r>
      <w:r>
        <w:rPr>
          <w:b w:val="0"/>
        </w:rPr>
        <w:t xml:space="preserve"> läkare, togs af biskop Billing till utgångspunkt för hans interpellation, och det är en ganska allmän uppfattning bland dem, som syssla med dessa frågor — äfven inom reglementeringskommittén — att just den boken kan äfventyra att falla under lagen, tillämpad äfven på tryckt skrift, om man kan visa eller göra sannnolikt, att en del personer däraf blifvit eller kunnat blifva förförda. Den öfriga delen af lagen skulle åter vara en mindre viktig del af förslaget.</w:t>
        <w:br/>
        <w:br/>
        <w:t>För mig ligger som sagdt saken så, att dessa frågor äro icke alls på något grundläggande sätt belysta, och herr "Thyréns anförande undvek alla ledande synpunkter och var blott ett kaos af detaljer eller historietter, närmast syftande blott på denna lags detaljer, men icke på den stora sociala bakgrund, mot hvilken den måste ses. Ett öfvervägande af de ledande synpunkterna bör föregå en dylik lagstiftning. Den bör ej heller onödigtvis forceras fram, har jag tyckt, i olaga tid och i Riksdagens sista timme, utan böra dessa saker i stället moget öfvervägas i samband med en allmän revision af strafflagen eller i samband med det öfvervägande af reglementeringskommitténs betänkande, som kommer att ske, när det i sinom tid lägges fram.</w:t>
        <w:br/>
        <w:br/>
        <w:t>På dessa skäl och med åberopande i all synnerhet af hvad jag i reservationen anfört, skall jag be att få yrka afslag på Kungl. Maj:ts förslag.</w:t>
      </w:r>
    </w:p>
    <w:p>
      <w:pPr>
        <w:pStyle w:val="Heading2"/>
      </w:pPr>
      <w:r>
        <w:t>2. Hjalmar Lindgren (–, man)</w:t>
      </w:r>
    </w:p>
    <w:p>
      <w:r>
        <w:rPr>
          <w:b w:val="0"/>
        </w:rPr>
        <w:t>Herr talman! Jag ber om kammarens benägna öfverseende med, att jag begärt ordet i denna fråga, men en särskild omständighet och uppmaningar från en del af mina kommittenter ha så att säga tvingat mig därtill. Herrarne erinra sig sannolikt, att när den kungl. propositionen med förslag till den föreliggande lagändringen remitterades till lagutskottet, så uppträdde en ledamot af denna kammare och läste upp ett till honom ankommet bref, där Sandö samhälle i Angermanland på ett mycket agressivt sätt anfölls, och där dess ungdom beskylldes för att stå på en mycket låg sedlig nivå. Tidningen Hernösandsposten nr 116 för den 24 maj har återgifvit herr Mörtsells bref, men den tillägger i artikeln: &gt;Hittills ha vi icke fått något meddelande om detta möte». Hernösandsposten har dock med publicistisk takt och möjligen på grund af försiktighet icke nämnt namnet Sandö utan rubricerat notisen i stället med »preventiv agitation i Ångermanland». Förmodligen ansåg tidningen också färgläggningen vara så stark, att den kunde smutsa ned hela arbetareklassen inom Angermanland. Med anledning af dels: tidningens notis och dels af brefvei har jag</w:t>
        <w:br/>
        <w:br/>
        <w:t xml:space="preserve">vändt mig till förste läraren M. Tennman vid Sandö skola, och jag har här det bref jag fått från honom. Han säger sig vara mycket oangenämt öfverraskad. Han har gjort en rond öfver hela ön och satt sina bästa detektiver i rörelse, men ingen har kunnat upptäcka, att något sådant möte gått af stapeln, och det är hans lifliga öfvertygelse, att det icke har ägt rum. Äfven har jag ett bref från en aktad arbetare, Olof Nordin, som säger, att det vore förunderligt, om ett sådant möte kunde ha ägt rum. Hans </w:t>
      </w:r>
      <w:r>
        <w:rPr>
          <w:b/>
        </w:rPr>
        <w:t>hustru²</w:t>
      </w:r>
      <w:r>
        <w:rPr>
          <w:b w:val="0"/>
        </w:rPr>
        <w:t xml:space="preserve"> har hos grannkvinnorna hört efter, men de ha icke heller reda på, att något sådant möte ägt rum. Denne Nordin är ordförande i Sandö kommunala förening, som har på möte dryftat den här händelsen. Mötet uttalade sin indignation. &gt;»Vi föräldrar med vuxna barn känna oss djupt förolämpade och be att på något sätt få tillbakavisa beskyllningen», så uttalade sig mötet bland annat. För att öfvertyga mig själf och andra om, att icke någon lokalpatriotism och möjligen blygsamhet spelat in i denna rörande enstämmighet, har jag skrifvit till kommunalstämmans ordförande nämndeman C. O. Näslund, i Gudmundrå. Detta är en annan församling, som ligger helt nära Sandö. Den ligger midt emot på andra sidan af älfven, som bildar gränsen mellan församlingarna. Denne kommunalstämmeordförande svarar mig den 28 dennes: »Först i dag har jag vid besök å Sandö hos flera familjer sökt skaffa upplysningar rörande de Mörtsellska uppgifterna. Ingen hade förut hört dessa historier. Något sådant föredrag hade icke hållits å Sandö. Det skulle vara roligt att veta, hvem som tillåtit sig att på detta sätt drifva med herr Mörtsell&gt;». Då dessa personer äro allmänt aktade och af mig kända män, hvilkas trovärdighet jag kan vitsorda, så tillåter jag mig, herr talman, att tillbakavisa den ohemula beskyllningen. Men då herr Mörtsell hvarken vid sitt föredragande af brefvet här offentligt eller vid mitt enskilda samtal med honom velat uppgifva namnet och adressen hvarken på brefskrifvaren eller den omnämnde skolläraren, så tvingar han mig att, intill dess så skett, påbörda honom det moraliska ansvaret för att han här i kammaren uttalat en om ock omedveten osanning och belastat kammarens protokoll med ett anförande: som sårat och väckt harm inom en hel provinsbefolkning. Herr talman, jag tackar för ordet och har i sakfrågan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