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1169</w:t>
      </w:r>
    </w:p>
    <w:p>
      <w:r>
        <w:rPr>
          <w:b/>
        </w:rPr>
        <w:t xml:space="preserve">Datum: </w:t>
      </w:r>
      <w:r>
        <w:t>1911-03-11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Lars Johan Jansson (Lantmanna- och borgarepartiet inom andrakammaren, man)</w:t>
      </w:r>
    </w:p>
    <w:p>
      <w:r>
        <w:rPr>
          <w:b w:val="0"/>
        </w:rPr>
        <w:t>Herr talman! Då jag låtit anteckna mig såsom reservant in blanco, vill jag tillkännagifva de omständigheter, som gjort, att jag intagit denna ståndpunkt inom utskottet.</w:t>
        <w:br/>
        <w:br/>
        <w:t>Jag hade nämligen tänkt, att det skulle hafva varit lämpligast att icke blott öfverlåta åt kommunalstämmorna själfva att få bestämma, huruvida de tre ordinarie stämmorna skulle hållas på söneller helgdag, utan ock att detta beslut skulle få gälla, intill dess stämman i laga ordning annorlunda beslutade, således utan att årligen vid decemberstämman rifva i detta beslut.</w:t>
        <w:br/>
        <w:br/>
        <w:t>Nu hör jag emellertid, att det icke är precis lönande att gå med en sådan enskild mening. - Och då jag anser, att man gagnar saken bäst genom att förena sig med reservanterna herrar Nyström m. f., så ber jag att få förena mig med dem i deras yrkande.</w:t>
        <w:br/>
        <w:br/>
        <w:t>Men, efter hvad jag nu haft tillfälle att höra på den korta stund, jag varit inne, så förstår jag, att det nu är en stark strömning för att Riksdagen skulle för sin del besluta, att de tre ordinarie stämmorna i regeln skulle hållas på söneller helgdag. För min del kan jag icke vara med om att fatta ett sådant beslut. Det är ju så ofantligt olika förhållanden på olika orter i vårt land. Och att tvinga folk på sådana orter, där de icke vilja hålla stämman på söndagar, att göra detta, det tycker jag är både orimligt och onödigt. Däremot anser jag, att det är fullkomligt i sin ordning, att stämman själf, får frihet att bestämma, på hvilka dagar ordinarie stämma skall hållas. Då kan hvar och en kommun få lämpa beslutet efter sina särskilda förhållanden. Och därför anser jag det vara bäst att följa reservanternas förslag.</w:t>
        <w:br/>
        <w:br/>
        <w:t xml:space="preserve">rinnorna Margareta Svensson, Sally Högström och Anna Katarina seminariet. Bergström finge, enhvar vid </w:t>
      </w:r>
      <w:r>
        <w:rPr>
          <w:b/>
        </w:rPr>
        <w:t>hennes²</w:t>
      </w:r>
      <w:r>
        <w:rPr>
          <w:b w:val="0"/>
        </w:rPr>
        <w:t xml:space="preserve"> nu innehafvande befattning såsom &lt;(Forts.) </w:t>
      </w:r>
      <w:r>
        <w:rPr>
          <w:b/>
        </w:rPr>
        <w:t>lärarinna³</w:t>
      </w:r>
      <w:r>
        <w:rPr>
          <w:b w:val="0"/>
        </w:rPr>
        <w:t xml:space="preserve"> vid högre lärarinneseminariet, från och med den 1 januari</w:t>
      </w:r>
    </w:p>
    <w:p>
      <w:pPr>
        <w:pStyle w:val="Heading2"/>
      </w:pPr>
      <w:r>
        <w:t>2. Carl Lindhagen (Socialdemokraterna, man)</w:t>
      </w:r>
    </w:p>
    <w:p>
      <w:r>
        <w:rPr>
          <w:b w:val="0"/>
        </w:rPr>
        <w:t xml:space="preserve">Det föreliggande statsutskottsbetänkandet innefattar den afvikelsen från Kungl. Maj:ts proposition, att enligt denna senare skulle de belopp, hvarom här är är fråga, få uppbäras från och med den 1 januari 1910, medan utskottet ansett, att på grund af formella skäl borde medgifvandet i fråga icke få retroaktiv verkan och att därför dessa belopp endast skulle beviljas från och med den 1 januari 1911. Emellertid har min uppmärksamhet blifvit riktad därpå, att — frånsedt det, att ett beslut i enlighet med utskottets hemställan icke vore materiellt rättvist — Riksdagen därigenom skulle komma att nu intaga en annan ståndpunkt, än den intog 1907, då Riksdagen gaf en enahanda förmån åt tre </w:t>
      </w:r>
      <w:r>
        <w:rPr>
          <w:b/>
        </w:rPr>
        <w:t>lärarinnor³</w:t>
      </w:r>
      <w:r>
        <w:rPr>
          <w:b w:val="0"/>
        </w:rPr>
        <w:t xml:space="preserve"> vid samma läroanstalt, som det här är fråga om. Riksdagen medgaf nämligen år 1907, att </w:t>
      </w:r>
      <w:r>
        <w:rPr>
          <w:b/>
        </w:rPr>
        <w:t>lärarinnorna³</w:t>
      </w:r>
      <w:r>
        <w:rPr>
          <w:b w:val="0"/>
        </w:rPr>
        <w:t xml:space="preserve"> vid högre lärarinneseminariet Maria Mathilda Widegren, Anna Lindhagen och Dagmar Lauritzen fingo vid då redan skedd eller blifvande befordran till ordinarie ämneslärarinnor vid högre lärarinneseminariet för uppflyttning i högre lönegrad räkna sig till godo den tid före den 1 januari 1905 de efter aflagd examen vid seminariet med nit och skicklighet därstädes tjänstgjort såsom på extra stat anställda hufvudlärarinnor. Det har äfven för mig uppgifvits, att de fått retroaktivt uppbära sådan högre aflöning, som det då gällde.</w:t>
        <w:br/>
        <w:br/>
        <w:t>Då således enligt min uppfattning den kungl. propositionen är rättvisare än utskottets förslag och därjämte mera öfverensstämmande med Riksdagens en gång förut fattade beslut, skall jag be att få yrka bifall till den kungl. propositionen.</w:t>
      </w:r>
    </w:p>
    <w:p>
      <w:pPr>
        <w:pStyle w:val="Heading2"/>
      </w:pPr>
      <w:r>
        <w:t>3. Carl Persson (Lantmanna- och borgarepartiet inom andrakammaren, man)</w:t>
      </w:r>
    </w:p>
    <w:p>
      <w:r>
        <w:rPr>
          <w:b w:val="0"/>
        </w:rPr>
        <w:t>Herr talman! Utskottet har för sin del ansett, att det genom att göra den hemställan, som det här gjort, ställde sig på en riktig ståndpunkt. Kammaren torde nog erinra sig, hurusom på andra hufvudtiteln i år förekommo två framställningar af nästan likartadt innehåll som den nu föreliggande kungl. propositionen, men i dessa båda förstnämnda framställningar hemställdes dock, att de befattningshafvare, hvarom det där var fråga, väl skulle få räkna tjänsteår under år 1910, men endast uppbära aflöning från år 1911 års början. Dessa framställningar på</w:t>
        <w:br/>
        <w:br/>
        <w:t>andra hufvudtiteln blefvo visserligen i sin helhet afslagna, men det är i alla fall ett förslag af Kungl. Maj:t, som man här har att stödja sig på. Utskottet hade nu tänkt sig, att man äfven i detta fall skulle följa samma princip som i nyssnämnda förslag och låta de</w:t>
        <w:br/>
        <w:br/>
      </w:r>
      <w:r>
        <w:rPr>
          <w:b/>
        </w:rPr>
        <w:t>lärarinnor³</w:t>
      </w:r>
      <w:r>
        <w:rPr>
          <w:b w:val="0"/>
        </w:rPr>
        <w:t>, som det här gäller, få räkna tjänsteår för år 1910 —</w:t>
        <w:br/>
        <w:br/>
        <w:t>och således skulle de nu endast ha fyra år kvar i första lönegraden — men att de icke skulle få uppbära ålderstillägg förrän från och med 1911, för att icke statsverket skall behöfva betala aflöning för ett år, som redan förflutit.</w:t>
        <w:br/>
        <w:br/>
        <w:t>Det är att förvänta ganska många framställningar i samma riktning som den nu föreliggande, och det vore därför skäl i, att Riksdagen fastsloge en princip, så att man icke utbetalade ålderstillägg för år, som redan hade förflutit, och vederbörande skulle ju icke ha rätt att få sådant ålderstillägg annat än efter Riksdagens medgifvande. Jag anser, att man bör följa utskottet i denna del, och jag tror, att man då har en bättre grund att stå på, än ifall Kungl. Maj:ts förslag bifalles, när man framdeles har att afgöra andra framställningar i samma riktning.</w:t>
        <w:br/>
        <w:br/>
        <w:t>Jag anhåller således,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1169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