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151</w:t>
      </w:r>
    </w:p>
    <w:p>
      <w:r>
        <w:rPr>
          <w:b/>
        </w:rPr>
        <w:t xml:space="preserve">Datum: </w:t>
      </w:r>
      <w:r>
        <w:t>1911-04-01</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Fredrik Wachtmeister (–, man)</w:t>
      </w:r>
    </w:p>
    <w:p>
      <w:r>
        <w:rPr>
          <w:b w:val="0"/>
        </w:rPr>
        <w:t>Med anledning af hvad de siste ärade talarne här anfört ber jag blott att få fästa kammarens uppmärksamhet på hvad statsutskottet skrifvit om Katrineholm. Utskottet säger endast, att det finner, att olägenheterna med det nuvarande stationshuset icke äro af beskaffenhet att för närvarande med nödvändighet påkalla den föreslagna byggnaden, och så talar det om, att man bör se tiden an, tills linjen Järna—Norrköping kommer att trafikeras. Den, som är litet ven att läsa statsutskottssvenska, skall finna, att statsutskottet här ej tänkt sig, att stationshucet skall stå mycket länge i sitt nuvarande skick.</w:t>
        <w:br/>
        <w:br/>
        <w:t xml:space="preserve">stiftning dels angående fattigvården och dels angående lösdrifvares behandling, som i Kungl. Maj:ts nådiga bref den 21 juni 1907 åsyftades, borde åstadkommas en enhetlig lagstiftning rörande den därutöfver erforderliga, mera frivilliga vården af frigifna fångar, lösdrifvare, fallna </w:t>
      </w:r>
      <w:r>
        <w:rPr>
          <w:b/>
        </w:rPr>
        <w:t>kvinnor¹</w:t>
      </w:r>
      <w:r>
        <w:rPr>
          <w:b w:val="0"/>
        </w:rPr>
        <w:t xml:space="preserve"> och andra vilsekomna, samt för Riksdagen framlägga de förslag, hvartill denna utredning kunde gifva anledning.</w:t>
      </w:r>
    </w:p>
    <w:p>
      <w:pPr>
        <w:pStyle w:val="Heading2"/>
      </w:pPr>
      <w:r>
        <w:t>2. Karl Ekman (Det förenade högerpartiet, man)</w:t>
      </w:r>
    </w:p>
    <w:p>
      <w:r>
        <w:rPr>
          <w:b w:val="0"/>
        </w:rPr>
        <w:t>Lagutskottet har visserligen enhälligt afstyrkt föreliggande motion, men jag skall i allt fall be att få yttra några ord.</w:t>
        <w:br/>
        <w:br/>
        <w:t>Vid genomläsande af utskottets betänkande har jag icke kunnat underlåta att göra den reflektionen, att det synes vara lagutskottets vice ordförandes anda, som hvilar däröfver.</w:t>
        <w:br/>
        <w:br/>
        <w:t>Utskottet medgifver, att saken är af synnerlig vikt. Och det förhåller sig verkligen så. Det gäller här bland annat den stora frågan om lösdrifvares behandling. HLösdrifvarne i vårt land beräknas uppgå till ett antal af icke mindre än 20,000, alltså en väldig här. Man har beräknat, att hvad dessa lösdrifvare dag för dag tigga ihop uppgår till ett årligt värde af omkring 5!/, miljoner kronor, och den arbetskraft, som här ligger obrukad, har af en författare uppskattats till ett årligt belopp af 7 miljoner kronor. Det är således mycket stora ekonomiska värden, som det här rör sig om, att icke tala om det moraliska fördärf, som följer af lösdrifvandet och hvilket är oerhördt. Det är en stor uppgift, som på de i motionen berörda områden föreligger, fattigvårdsoch lösdrifvarelagstiftningen. Men man kan icke lägga på kommunerna allt, som erfordras för dessa sedligt vilsekomnas upprättande och bispringande, utan här fordras jämväl ett understödjande arbete af mera frivillig art.</w:t>
        <w:br/>
        <w:br/>
        <w:t>Utskottet har också erinrat om, att åtskilligt arbete i den vägen uträttas aft. ex. fångvårdsföreningarna i länen samt Svenska Fattigvårdsförbundet genom dess afdelning Skyddsvärn. Äfven den svenska kyrkan har upptagit ett dylikt arbete på grund af den instruktion, som Kungl. Maj:t utfärdat för svenska kyrkans diakonistyrelse.</w:t>
        <w:br/>
        <w:br/>
        <w:t>Syftet med min föreliggande motion är af utskottet riktigt angifvet, då utskottet på sid. 7 i betänkandet säger, att motionärens hufvudsyfte torde vara, att de olika sträfvanden på ifrågavarande område, som gjort sig gällande, i någon form blifva 1 organisatoriskt afseende sammanförda. Jag har velat gemensamt arbete efter gemensamma riktlinjer. Ty jag tror, att splittring eller konkurrens på ifrågavarande område endast länder till skada för arbetet. Jag har emellertid icke begärt, att det utkast</w:t>
        <w:br/>
        <w:br/>
        <w:t>till lagstiftning, som är bifogadt motionen, skulle bifallas; jag har endast begärt, att frågan måtte hänvisas till den kommitté, som har fattigvårdsoch lösdrifvarlagstiftningens revision om hand, och hvars ordförande är lagutskottets vice ordförande. Lagutskottet har icke velat hänvisa frågan till denna kommitté. Då nu emellertid frågan är väckt, kan jag icke föreställa mig annat, än att kommittén dock kommer att sysselsätta sig därmed.</w:t>
        <w:br/>
        <w:br/>
        <w:t>Jag vill då göra en erinran. Jag har påpekat, att kyrkan har en gifven plats i detta arbete, en lagbestämd uppgift uti ifrågavarande hänseende. Emellertid har nyssnämnda kommitté uti sitt redan afgifna betänkande med förslag till lag om behandling af alkoholister alldeles förbisett detta. Det är ett genomgående drag 1 hela betänkandet. Jag skall be att få nämna ett enda exempel. I 3 $ i den föreslagna lagen om behandling af alkoholister heter det, att ansökning om internering må göras först och främst af förmyndare och vissa anhöriga och för öfrigt af kommunalnämnd eller hälsovårdsnämnd, af fattigv årdsstyrelse samt af barnavårdsnämnd. De kyrkliga organen däremot skulle icke hafva sådan rätt. Nu vet ju hvar och en, att kyrkorådet har en alldeles särskild uppgift i afseende å sedernas vård. Jag har själf såsom ledamot af kyrkorådet i min hemort flera gånger varit med om att meddela varning för oenighet i äktenskap just i sådana fall, då oenigheten varit beroende på, att den ena eller andra af makarne varit hemfallen åt alkoholism. Hvad ligger då närmare till hands, än att, då skäl därtill förefinnas, kyrkorådet skulle hafva rätt att anmäla alkoholister till internering likaväl som kommunalnämnden? Men så har kommittén icke fattat saken. Det är efter min uppfattniug icke som sig bör, att kyrkan på detta sätt skjutes undan, och jag fruktar, att, när kommittén kommer till behandlingen af frågan om frigifna fångar, lösdrifvare och andra i motionen afsedda personer, förhållandet blir enahanda.</w:t>
        <w:br/>
        <w:br/>
        <w:t>I motionen har jag sökt finna en form för samarbete mellan alla intresserade: staten, kommunerna, kyrkan och enskilda sammanslutningar. Men jag har nog haft en känsla af, att samarbetet skulle blifva svårt att åstadkomma. Ty det förefinnes på detta arbetsområde en djupgående motsats. Det är nämligen motsatsen mellan rent humanitär kärleksverksamhet och kristlig kärleksverksamhet. Jag tror, att med den erfarenhet man redan har af Svenska Fattigvårdsförbundets arbete, som ju är mycket förtjänstfullt, man dock kan säga, att detta bygger i det stora hela på humanitär grund, under det att kyrkan gifvetvis bygger</w:t>
        <w:br/>
        <w:br/>
        <w:t>på kristlig grund. Det är denna motsättning, som man måste försöka komma öfver. Det vore godt, om den i motionen berörda viktiga frågan finge lösas icke i splittringens, utan i samlingens tecken.</w:t>
      </w:r>
    </w:p>
    <w:p>
      <w:pPr>
        <w:pStyle w:val="Heading2"/>
      </w:pPr>
      <w:r>
        <w:t>3. Eliel Löfgren (Liberala samlingspartiet, man)</w:t>
      </w:r>
    </w:p>
    <w:p>
      <w:r>
        <w:rPr>
          <w:b w:val="0"/>
        </w:rPr>
        <w:t>Den af herr Ekman väckta motionen bar gifvit mig tillfälle att något beröra det område, som är närgränsande till det af honom berörda, om icke rent af därmed sammanfal-</w:t>
        <w:br/>
        <w:br/>
        <w:t>lagstift-" lande. Närmast rör ju motionen införande af en mer enhetlig</w:t>
        <w:br/>
        <w:br/>
        <w:t>och bättre kontrollerad behandling af sådana vuxna personer, som motionären kallar vilsekomna. Och han menar, att beträffande vården och omhändertagandet af dessa skulle införas bestämmelser motsvarande dem, som nu äro gällande i fråga om vanartade och sedlivt försummade minderåriga.</w:t>
        <w:br/>
        <w:br/>
        <w:t>Jag ber da att få fästa uppmärksamheten på det förhållande, att de bestämmelser rörande dessa senare, som gifvits af Riksdag och regering år 1902, icke hållit hvad de lofvat och i verkligheten icke kommit att tillämpas på sätt meningen varit. Som bekant var det afsedt att införa icke allenast uppfostringsanstalter, där minderåriga förbrytare skulle upptagas och undergå behandling, utan också s. k. skyddshem, där minderåriga vanartade eller sedligt försummade barn skulle intagas för att uppfostras. Lagen förutsätter, alt för vårdande af vanartade eller sedligt försummade barn inom de olika landstingsområdena och inom de städer, som icke deltaga i landsting, skall finnas ett tillräckligt antal skyddshem, för hvilka lagen bestämt vissa regler. Så har lagen sagt, att, därest ej Konungen för visst fall medgifver undantag, antalet barn, som vårdas där, får vara högst 30. Vidare skall ett disciplinreglemente vara utfärdadt af Konungen. Så skola dessa hem i undervisningsafseende stå under inspektion af vederbörande folkskoleinspektörer, och meningen är, att en viss enhetlighet skall göra sig gällande beträffande dessa barns uppfostran, Detta bestämdes år 1902, men i själfva verket har det knappast tillkommit ett enda sådant skyddshem. Ja, det lär finnas ett eller annat i hela landet, men i den utsträckning lagen afsåg, hafva sådana ej kommit till stånd.</w:t>
        <w:br/>
        <w:br/>
        <w:t xml:space="preserve">Hvad man däremot har här och där, och lyckligtvis på rätt många ställen, det är af städer eller andra kommuner upprättade barnhem, som lyda under olika styrelser, men som icke alls äro reglerade af de bestämmelser, som år 1902 antogs af Riksdag och regering. Detta sakernas tillstånd medför naturligvis olägenheter i olika afseenden. Dels räcka hemmen helt naturligt icke till för att taga hand om alla de vanvårdade eller sedligt försummade barn, som finnas inom hvarje område, och detta gör, att städer eller kommuner träffa öfverenskommelse med de statens uppfostringsanstalter, som äro inrättade för att omhändertaga minderåriga förbrytare, att de skola taga emot det antal gossar eller </w:t>
      </w:r>
      <w:r>
        <w:rPr>
          <w:b/>
        </w:rPr>
        <w:t>flickor²</w:t>
      </w:r>
      <w:r>
        <w:rPr>
          <w:b w:val="0"/>
        </w:rPr>
        <w:t>, som ej rymmas på de kommunala anstalterna. Då det därvid gäller mer eller mindre vanvårdade barn, men i alla händelser många, som icke hafva annat fel, än att de kommit från dåliga hem, blir följden, att a'la dessa barn, som egentligen icke gjort något illa, komma tillsammans med minderåriga för-</w:t>
        <w:br/>
        <w:br/>
        <w:t>brytare, som af domstolarna dömts till tvångsuppfostran, och blifva — Om underkastade deras dåliga inflytande. Dels uppkommer genom pevågar bristen på kommunala skyddshem ett annat missförhållande. Br helle Tack vare samverkan mellan kommunerna och statens uppfostlagskfe ringsanstalter med afseende å omhändertagandet af vanvårdade «ning barn, komma nämligen åtskilliga, som borde förpassas till starörande tens uppfostringsanstalter, icke dit, emedan de ej rymmas där, Ne eller få åtminstone vänta på plats. Följden blir, att, då det gölpomna. ler förbrytelser, begångna af ungdomar mellan i5 och 18 år, (Forts.) domstolarna, där de ha att välja mellan å ena sidan böter eller fängelse och &amp; andra sidan sändande till uppfostringsanstalt, stå i beråd att tillämpa det senare alternativet, emedan de icke veta, om det finnes rum på statens uppfostringsanstalter. Det har också inträffat, att ungdomar, som blifvit dömda till tvångsuppfostran, fått sitta kvar hos konungens befallningshafvande, såsom häktade, i afvaktan på förpassning till uppfostringsanstalt, eller också ha domstolarne funnit sig böra släppa dem lösa. Detta har naturligtvis ej varit öfverensstämmande med hvad strafflagen menat.</w:t>
        <w:br/>
        <w:br/>
        <w:t>Men det är ej blott otillräckligbeten i antal af de kommunala, af staten kontrollerade anstalterna, som är ägnadt att tilldraga sig uppmärksamhet, utan det är också dessa anstalters beskaffenhet. Hvar och en af dem är reglerad på samma sätt kommunen eller en styrelse inom kommunen för hvarje särekildt fall bestämt. Meningen har ju varit, att de kommunala anstalter, som skulle fylla vissa i lag bestämda fordringar på skyddsbem, skulle vara underkastade ett af Konungen fastställdt disciplinreglemente, men eftersom denna lagstiftning alldeles icke eller åtminstone allenast i mycket ringa utsträckning blifvit tillämpad, komma hvarje skyddshems föreståndare och styrelse att bestämma, huru barnen på de olika hemmen skola behandlas. Därvid är att märka, att, under det att i de allmänna skolorna, både folkskolorna och de allmänna läroverken, tilldelandet af aga blifvit i viss mån regleradt och skamstraffen, liksom äfven den gamla straffmetoden, att hela klassen fick lida för en medlems förseelse, blifvit borttagna — att allt sådant, som är borttaget på det pedagogiska området i statens skolor, står kvar och utvecklar sig allt frodigare i de kommunala uppfostringsanstalterna. Nu kan det ju hända, att det för vanvårdade och sedligt försummade barn behöfves särskilda bestämmelser, och att en starkare disciplin måste gälla beträffande dem. Men lika viktigt synes mig vara, att detta regleras genom lag och allmänna bestämmelser och icke göres beroende af hvarje särskild föreståndares eller styrelses godtycke.</w:t>
        <w:br/>
        <w:br/>
        <w:t>Det är dock blott den ena sidan af saken, att i saknad af reglementen om, huru dessa barn skola behandlas, dessa äro underkastade respektive föreståndares och styrelsers godtycke. Den</w:t>
        <w:br/>
        <w:br/>
        <w:t>ning 18 år begår ett groft brott, för hvilket han enligt lag skulle anrörande. mälas till konungens befallningshafvande för brottets bestraffande, vård af 5 a ; i &gt; a 8 5 LE</w:t>
        <w:br/>
        <w:br/>
        <w:t>vilse men att sådan anmälan icke komraer till stånd, utan i stället komna. föreståndaren på eget bevåg mäter ut straffet, vare sig han fö-</w:t>
        <w:br/>
        <w:br/>
        <w:t>(Forts.) reskrifver så och så mycket ljus eller halfmörk arrest eller an-</w:t>
        <w:br/>
        <w:br/>
        <w:t>nat slag af bestraffning. I många fall kanske ett sådant förfarande verkar bra, men i hvarje fall bör det vara på något sätt lagligen regleradt.</w:t>
        <w:br/>
        <w:br/>
        <w:t>Jag bar velat fästa uppmärksamheten på dessa förhållanden, för att möjligen en rättelse härutinnan skall kunna ske. Detnu påpekade visar emellertid faran eller betänkligheten af, att statsmakterna antaga en lag, hvars utförande är helt och hållet beroende på kommuners eller andras åtgöranden. Och i det här fallet har utförandet icke skett på det sätt lagen afsett.</w:t>
        <w:br/>
        <w:br/>
        <w:t>Jag har, herr talman, intet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151</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