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1198</w:t>
      </w:r>
    </w:p>
    <w:p>
      <w:r>
        <w:rPr>
          <w:b/>
        </w:rPr>
        <w:t xml:space="preserve">Datum: </w:t>
      </w:r>
      <w:r>
        <w:t>1912-01-26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Värner Ryden (Socialdemokraterna, man)</w:t>
      </w:r>
    </w:p>
    <w:p>
      <w:r>
        <w:rPr>
          <w:b w:val="0"/>
        </w:rPr>
        <w:t>Herr talman, mina herrar! Jag skulle icke drista mig att besvära kammaren, om jag icke på grund af ett annat arbete, som jag sysselsatt mig med, kommit att något sitta mig in i grunderna för det lagförslag, som här föreligger, och därvid kommit till den bestämda öfvertygelsen, att detta lagförslag, när det blir kändt, kommer att väcka de allra största bekymmer bland småfolket ute i landet. Då jag har denna bestämda uppfattning, anser jag det riktigt, att redan vid det tillfälle, då propositionen remitteras, dessa synpunkter framföras till öfvervägande af det utskott, som får att behandla lagförslaget. .</w:t>
        <w:br/>
        <w:br/>
        <w:t>Konturerna af lagförslaget äro, såsom herr Alferman sade, ungefär följande. Understödsföreningar, som ha 50 medlemmar, skola ovillkorligen, vid risk af stort bötesstraff, låta registrera sig. Understödsföreningar, som lämna öfver 200 kronor i begrafningshjälp, bli enligt 86 paragrafen i lagförslaget skyldiga att låta godkänna sina stadgar af försäkringsinspektionen, som blir tillsyningsmyndighet och som kommer att ålägga dessa föreningar att inrätta sig efter försäkringstekniska synpunkter och sålunda förbjuda det system af uttaxeringar, som hittills tillämpats i en mängd af dessa små föreningar. Slutligen skall hela denna stora mängd af föreningar bland småfolket i stad och på land kastas in under försäkringsinspektionen, d.v.s. under en myndighet, som är satt att granska lifförsäkringsbolagens verksamhet och inom hvilken, det vågar jag säga, det så godt som saknas kännedom om de förhållanden, under hvilka dessa föreningar arbeta.</w:t>
        <w:br/>
        <w:br/>
        <w:t>Då jag finner, att själfva principerna för lagförslaget äro så betänkliga, att man icke kan af lagen vänta sig något, som kan blifva till gagn för föreningarna, men väl åtskilligt, som kommer att lända dem till skada, så finner jag mig nödgad att här ingå på en något närmare kritik af förslaget.</w:t>
        <w:br/>
        <w:br/>
        <w:t>De föreningar, som komma att beröras af förslaget, äro, som herr Åkerman sade och såsom framgår af lagförslagets 1 paragraf, hufvudsakligen af fyra olika slag. Det första är pensionskassor, af hvilka det finnes en mängd växlande typer, bland annat kassor, som betala högre belopp och som stå på gränsen till ren välgörenhet, såsom en förteckning öfver dessa, hvilken jag skaffat mig, klart gifver vid haunden. Sedan ha vi lifförsäkringsföreningar, som i vissa fall betala belopp på ända till 5,000 kronor. Under den rent konstlade gränsen af 200 kronor komma begrafningskassorna, af hvilka det finnes en mängd växlande typer. De icke minst kända bland dessa äro de af herr Åkerman omtalade 100-mannaföreningarna. Det stora flertalet af dessa bygger på principen om uttaxering. Jag behöfver, för att gifva ett begrepp om dessas antal, blott hänvisa till Konungens befallningshafvandes femårsberättelser ifrån de olika länen och be hvar och en af herrarna att betrakta uppgifterna för sitt län, då han ju närmast har personlig kännedom och erfarenhet om de därstädes verksamma sammanslutningarna af detta slag. Då jag i främsta rummet känner till dem, som arbeta i min hembygd, behöfver jag blott peka på de 100-, 200-, 500- och 1,000-mannaföreningar, som existerat långt innan någon tanke på denna lag rann upp och som, såvidt jag vet, aldrig gjort något ondt, men väl utgjort ett ganska betydelsefullt moment i</w:t>
        <w:br/>
        <w:br/>
        <w:t>det sociala arbete, som där utföres. Dessa skola nu in under den nya lagen.</w:t>
        <w:br/>
        <w:br/>
        <w:t>Och så ha vi då detta för mig alldeles ofattliga förslag, att arbetslöshetskassorna skola läggas under försäkringsinspektionen, så vida de ej äro direkt förenade med fackföreningarna. Det finnes visserligen icke nu mer än en fristående arbetslöshetskassa, nämligen en i Norrköping. Men om vi kunde tänka oss en arbetslöshetsförsäkring, såsom nog mången gör, byggd på principen fristående arbetslöshetsförsäkringskassor, så skulle vi komma till det egendomliga förhållandet, att arbetslöshetskassorna skulle kastas in under försäkringsinspektionen, medan hela arbetslöshetsproblemet, som nu är under utredning, skulle ligga under den blifvande socialstyrelsen. Hvad ha arbetslöshetskassorna att göra med försäkringsrörelsen? De ha ingen statistik och hvila icke på försäkringstekniska grunder. Det är därför icke något som helst fog för, att man lägger in arbetslöshetskassorna under denna lifförsäkringsbolagens representation 1 statsförvaltningen.</w:t>
        <w:br/>
        <w:br/>
        <w:t>Den nuvarande regeringen har tagit hela detta förslag i arf från sin företrädare, så att klandret härför måhända ej bör kännas alltför bittert för herr civilministern. Förra regeringen försökte skrifva föreningslagar utan att ha gjort sig besvär att undersöka, hvilka föreningar som furnos i landet, huru många de voro eller hur de voro inrättade. Sedermera, när man gjorde undersökningar, visade det sig också, att det icke var någon möjlighet att taga detta första lagförslag af år 1910, som den förra regeringen framlade och som bland annat1i blindo t. o. m. skulle ha slagit ihjäl svenska arbetsgifvareföreningen, utan att regeringen därom antagligen hade en aning.</w:t>
        <w:br/>
        <w:br/>
        <w:t>På samma sätt har man äfven nu försökt sig på en lagstiftning angående understödsföreningar utan att ha verkställt en ingående undersökning hurudana de äro, huru många de äro, hvilka de äro. Mig veterligt finnes icke här någon uttömmande utredning gjord. Möjligen kan man ur Konungens befallningshafvandes femarsberättelser plocka fram en del af dem. Men om man känner till förhållandena i länen och den större eller mindre grad af nitälskan, som finnes hos olika länsstyrelser, så vet man alltför väl, att de uppgifter, man får af Konungens befallningshafvandes femårsberättelser, icke äro synnerligen mycket att bygga pa.</w:t>
        <w:br/>
        <w:br/>
        <w:t>Jag har emellertid med hjälp af på detta område sakkunniga personer försökt skaffa mig en förteckning öfver sådana föreningar, som förekomma i femårsberättelserna, och redan denna förteckning visar en oerhördt skiftande mångfald af understödsföreningar, understödsföreningar, som stå på gränsen till rena välgörenhetsföreningar, och understödsföreningar ända fram till stora lifförsäkringsoch pensionsföreningar.</w:t>
        <w:br/>
        <w:br/>
        <w:t>Jag vill äfven anmärka på denna lag, att beträffande själfva lagens afgränsning mot andra föreningar och företag, efter hvad jag kan finna, hvarken de sakkunniga eller lagrådet eller någon annan kunnat gifva en så bestämd gräns mellan dessa understödsföreningar och andra föreningar, som icke skulle falla inom lagens råmärken, att man kan i någon mån bygga därpå. Ordet, som användes, är »affärsmässig&gt;, och jag frågar: Är det någon af herrarna här, som kan definiera, hvad</w:t>
        <w:br/>
        <w:br/>
        <w:t>affärsmässig är? Jag tror icke, att det är möjligt, utan det finge vil bli så, att genom tillsyningsmyndigheten skulle skapas en praxis på omradet.</w:t>
        <w:br/>
        <w:br/>
        <w:t>Vidare vill jag framhålla en synnerligen betänklig sak, nämligen att den nya lagen fastslår som maximigräns understöd af 200 kronor för föreningar, som skola undgå försäkringsinspektionens tariffer. De föreningar, som lämna lägre understöd, äro de enda, som äga att bygga på principen om uttaxering. Jag skall taga ett exempel. Antag, att Jag och mina kamrater i Malmö — vi äro omkring ett 60-tal — vilja inbördes komma öfverens om att, när någon ar oss dör, betala 10 kronor och på det sättet sammanskjuta ett belopp till den aflidnes efterlefvande. Detta har man varit van att betrakta som en af våra rättigheter, som ingen kunde bestrida oss, men i och med det att denna nya lag blefve antagen, skulle vi, så snart vi bildade en förening för detta syfte, därför att vi äro flera än 50, kastas in under registrering. Vidare skulle vi, genom att vi meddelade understöd öfver 200 kronor, kastas in under 86 8 med dess bestämmelser om godkända stadgar och endast få arbeta under villkor, att det skedde efter försäkringstekniska grunder. Själfva den tanken, den möjligheten, att man skulle få lof att under föreningsrättsliga former limna en femma eller en tia, när en kamrat går bort, den möjligheten är borta med denna lag, och i stället hafva vi fått in den regeln, att, om vi vilja hjälpa hvaraudra inbördes, skall det ske efter lifförsäkringsprinciper och efter hvad försäkringsinspektionen ålägger. Finnes det verkligen skäl att vidtaga dessa tvångsanordningar?</w:t>
        <w:br/>
        <w:br/>
        <w:t>Jag kan för min del icke heller underlåta att i likhet med den föregående ärade talaren uttala mina betänkligheter öfver, att man föreslår försäkringsinspektionen som tillsyningsmyndighet för dessa föreningar. Här är först att märka, att försäkringsinspektionen underhålles af enskilda bolag. De enskilda bolagen betala eu afgift till staten, och staten aflönar med dessa afgifter inspektionen. Nu är meningen, att dessa föreningar skulle läggas under detta lifförsäkringsbolagens inspektionsverk i statsförvaltningen men vara befriade från att erlägga afgift. Jag kan icke se annat, än att detta är en betänklig sak ur principiell synpunkt. Jag tror, att denna inspektion, som består af försäkringsteknici, matematici och lifförsäkringsmänniskor, har bra litet utrymme för alla de sociala synpunkter, som egentligen bära upp den ojämförligt större delen af småfolkets understödsföreningar.</w:t>
        <w:br/>
        <w:br/>
        <w:t>Vidare har jag antydt den brist, som enligt min uppfattning måste ligga i, att, om en socialstyrelse kommer till stånd, själfva arbetslöshetsproblemet i stort sedt skall ligga under socialstyrelsen, men arbetslöshetsstatistiken, på hvilken socialstyrelsen skall bygga sin uppfattning om dessa förhållanden, skall ligga under försäkringsinspektionen, i viss mån, och vidare att arbetslöshetsförsäkringen, ett af de viktigaste problemen, skall ligga under inspektionen, medan ärendet i öfrigt ligger under socialstyrelsen. Detta är en dualism, som man måste finna mindre välbetänkt.</w:t>
        <w:br/>
        <w:br/>
        <w:t>Jag vill äfven framhålla en annan synpunkt. Jag ser på denna sak praktiskt. Jag vet icke, om de herrar, som skrifvit denna lag, ha så grundlig kännedom om sådana saker, som nödvändigt är. Jag skall</w:t>
        <w:br/>
        <w:br/>
        <w:t>framdraga endast ett enda exempel. Nu ha ju rent historiskt i alla våra samhällen vuxit upp blandade sjukoch begrafningskassor; det vet enhvar, att sådana finnas öfverallt. Nu skrefs den nya sjukkasselagen så, att den tvingade kassorna att uppdela sig, så att sjukkassan blef en institution för sig och begrafningskassan en för sig, såsom det håller på att ske i dessa dagar eller skedde under det gångna aret. Men denna uppdelning hindrar i alla fall icke, att dessa kassor hafva samma medlemmar, samma styrelse, det är samma människor, som äro i båda kassorna, det är endast den skillnaden, att understödsverksamheten skulle få lof att vara fri, medan sjukkasseverksamheten är underkastad de några och hundra paragraferna i den antagna sjukkasselagen. År det då rimligt, mina herrar, att sjukkassorna skola vara underlagda sjukkasseinspektören, som nu är lagd under kominerskollegii arbetsstatistiska afdelning och som en gång skall gå in i den nya socialstyrelsen, medan begrafningskassorna läggas under försäkringsinspektionen? Är detta förvaltningstekniska åtgärder, som kunna kallas rimliga? För min del vill jag säga, att det nu faktiskt är så, att det är de stora lifförsäkringsföreningarna och bolagen, som behöfva denna lag, men icke de små, som icke bedt om den och icke, såvidt jag vet, blifvit hörda i saken, och då tycker jag, att vi måste afstå från att lägga dessa båda kategorier under en och samma linjal.</w:t>
        <w:br/>
        <w:br/>
        <w:t>Jag skall anföra några exempel, som visa, hur orimligt det är att lägga en och samma linjal öfver så skiftande föreningar som dessa. Vi ha t. ex. ibland lifförsäkringsföreningar och begrafningskassor å ena sidan en stor förening, Sveriges allmänna kristna lifförsäkringsförening, med 562,692 kronor i tillgångar, och å andra sidan Gårdsskärs begrafningskassa med 485 kronor i tillgångar, en så kallad begrafningslåda i Mjölby med 628 kronor i tillgångar och för öfrigt en oändlig mängd af små föreningar och små företag i skilda bygder i landet. Alla dessa små föreningar skulle nu fösas tillsamman under samma lag som de stora kassorna. Vidare ha vi bland hjälpkassor af blandad karaktär å ena sidan godtemplarordens stora själfbjälpsförening med 1,105,814 kronor i tillgångar och å den andra sidan »</w:t>
      </w:r>
      <w:r>
        <w:rPr>
          <w:b/>
        </w:rPr>
        <w:t>Fruntimmernas²</w:t>
      </w:r>
      <w:r>
        <w:rPr>
          <w:b w:val="0"/>
        </w:rPr>
        <w:t xml:space="preserve"> i Trälleborg själfbjälpsförening» med 1,339 kronor eller Långviks grufarbetares sjukoch nödhjälpskassa med 648 kronor i tillgångar. Finns det, mina herrar, någon reson i att lägga dessa stora företag under samma linjal som de små?</w:t>
        <w:br/>
        <w:br/>
        <w:t xml:space="preserve">Och om jag får taga några exempel rörande pensionskassor, så skola under samma lag läggas å ena sidan »de enskilda järnvägarnas pensionskassa» med en fond af 8,556,576 kronor och å andra sidan »Österby bruksarbetares </w:t>
      </w:r>
      <w:r>
        <w:rPr>
          <w:b/>
        </w:rPr>
        <w:t>änkeoch²</w:t>
      </w:r>
      <w:r>
        <w:rPr>
          <w:b w:val="0"/>
        </w:rPr>
        <w:t xml:space="preserve"> pupillkassa&gt; med 7,821 kronor och en hel del andra mindre sådana. Är det rimligt, upprepar jag, att lägga en och samma laglinjal öfver dessa? På samma sätt, om jag tar pensionskassor, afsedda för sådana personer, hvilka icke stå i allmän tjänst. Då ha vi å ena sidan t. ex. »apotekarekårens lifränteoch pensionskassa» med 2,247,221 kronor i tillgångar, och å andra sidan »pensionsinrättningen vid Örtofta och Slättängs gods» med 1,589 kronor i tillgångar. Jag har velat framdraga dessa exempel för att bevisa riktigheten af mitt påstående, att man icke får lägga en och samma laglinjal öfver å ena sidan dessa stora företag, som nått den</w:t>
        <w:br/>
        <w:br/>
        <w:t>omfattning och äro af den betydelse, att de fordra en regleriug genom lag, och å andra sidan dessa småfolkets företag, som icke behöfva någon lag, utan tvärtom skulle af en sådan hindras i sitt arbete.</w:t>
        <w:br/>
        <w:br/>
        <w:t>Jag instämmer också i hvad herr Åkerman yttrat — och som äfven fäst min uppmärksamhet — nämligen att det är förvånansvärdt, att man här icke hört den myndighet, som främst representerar de sociala synpunkterna i statsförvaltningen, nämligen kommerskollegium. Det är min bestämda förhoppning i detta fall att, för så vidt denna myndighet står i någon som helst förbindelse med småfolkets föreningar i landsbygden, skulle dess utlåtande om denna lag icke kunnat bli mer än ett, nämligen att det icke går an att sammanföra under samma lag de stora och de små.</w:t>
        <w:br/>
        <w:br/>
        <w:t>Det har icke saknats anledning att förfara med en viss betänksamhet i detta fall, ty, mina herrar, när försäkringsinspektionen själf skulle yttra sig öfver detta lagförslag, så uttalade en af dess ledamöter — en icke alldeles okänd man här i Riksdagen, nämligen d:r Sixten von Friesen — ungefär samma synpunkter som de jag här framlagt sasom skäl för att i stort sedt afstyrka lagförslaget. Detta borde, enligt min uppfattning, hafva manat till en viss varsamhet.</w:t>
        <w:br/>
        <w:br/>
        <w:t>Jag kan sålunda icke underlåta att, om jag vill sammanfatta den kritik, som jag här visserligen mycket flyktigt dock efter bästa förmåga försökt bära fram, komma till samma resultat som den föregående talaren, nämligen att det här är fråga om att för de stora företagen, som behöfva denna lag, offra de små. Våra gamla hundramannaföreningar, som väl äro hundraåriga på många platser, stå inför den situationen att antingen läggas in under denna lag med dess drakoniska bestämmelser och dess 99 paragrafer, eller också upplösas. Jag tror för min del icke, att dessa småfolkets företag i land och stad gjort sig förtjänta af det ödet att offras för de stora företagen. Och om det än möjligen skulle kunna anses rimligt att under en vidlyftig lag lägga in de sjukkassor, som åtnjuta förmånen af statsanslag, så kan jag icke inse, att det är rimligt att göra det med dem, som icke åtnjuta statsanslag, som icke begära sådant utan endast begära att få lefva i fred. Det blefve ett massmord på dessa små föreningar, som icke kunna infoga sig under denna lags många bestämmelser, utan finna sig vid hotet om de stora bötesstraffen nödgade att upplösa sig. Jag tror icke, att den nuvarande regeringen ej heller någon här i kammaren skulle vilja önska ett sådant resultat under första riksdagen med det nya representationsskicket. Jag föreställer mig, att denna lag, i hufvudsak oförändrad, gått i arf från den föregående regeringen, remitterats till lagrådet och fått slinka med i mängden af det arbete från förra året, som hvilar på regeringen. Detta är för mig den enda förklaringen till att man från denna regerings hand kunnat få ett lagförslag, som är så betänkligt. Det går snart så långt här i landet, att vi få så många lagar, att folket, som är vant att lefva i fred och hederlighet, kommer att snafva öfver lagparagrafer. Hvart skall det leda, om det går därhän, att en arbetare, som går in i en sjukoch begrafningskassa eller i någon konsumtionsförening, icke vet, huru många lagparagrafer som bryta in öfver dessa enkla förhållanden? Han vill icke göra något ondt, men han måste kunna 100-tals lagparagrafer för</w:t>
        <w:br/>
        <w:br/>
        <w:t>att icke råka ut för dessa drakoniska bestämmelser och få böta. Följden blir väl, att äfven arbetarne till slut måste skaffa sig privatjurister, och på det sättet gör man landet till ett eldorado för processmakare och lagvrängare, men icke hjälper man landet och folket fram, och det är väl det vi borde göra.</w:t>
        <w:br/>
        <w:br/>
        <w:t>Jag hemställer, att lagutskottet måtte afstyrka lagförslaget.</w:t>
      </w:r>
    </w:p>
    <w:p>
      <w:pPr>
        <w:pStyle w:val="Heading2"/>
      </w:pPr>
      <w:r>
        <w:t>2. Hjalmar Branting (Socialdemokraterna, man)</w:t>
      </w:r>
    </w:p>
    <w:p>
      <w:r>
        <w:rPr>
          <w:b w:val="0"/>
        </w:rPr>
        <w:t>Herr talman, mina herrar! Då vi nu stå inför det slutliga afgörandet af den omstridda fråga, som här beröres, så kan det måhända vara skäl att se ett ögonblick tillbaka på huru denna sak har utvecklat sig.</w:t>
        <w:br/>
        <w:br/>
        <w:t>Alla minnas, att det på vintern 1910 hölls några föredrag af herr Hinke Bergegren här i Stockholm och sedan på några andra orter, hvilka föredrag voro af den art, att de tilldrogo sig synnerligen stor uppmärksamhet och förorsakade i högsta grad häftiga utfall mot föredragshållaren och emot alla dem, son på något sätt visade sitt intresse för hans uppfattning. Detta oväsende tog mycket stora dimensioner och kompletterades snart med allehanda röfvarhistorier om en propaganda i riktning mot nymaltusianism, som skulle bedrifvas litet hvarstädes i landet och skulle ha antagit synnerligen vidriga former. De, som voro här vid riksdagen 1910, erinra sig, att äfven i våra protokoll inkommo sådana historier, hvilka sedermera vid närmare belysning från de orter, som de skulle gällt, visade sig bero på kompletta missuppfattningar för att begagna det allra mildaste uttrycket.</w:t>
        <w:br/>
        <w:br/>
        <w:t>Det blef emellertid på grund af redan då gällande lagstiftning åtal mot herr Bergegren, och saken vardt sålunda underställd rättslig pröfning. Men då nu en gång hetsigheten blifvit väckt i detta afseende, var detta för åtskilliga icke nog, utan det ropades på stränga lagstiftningsåtgärder, och det utarbetades af dåvarande regering ett förslag till en sådan lagstiftning, om hvilket man emellertid fick veta, att det den 18 maj blef afstyrkt af lagrådet såsom alltför betänkligt för den fria och fullt befogade yttranderätten på det ömtåliga område, som det här var fråga om. Icke dess mindre fann den då sittande regeringen sig föranlåten att två dagar därefter ändå inkomma till riksdagen med ett lagförslag. Kanhända fattades detta beslut icke minst med tanke på det kraftiga och för sakens framgång troligen afgörande stöd, som var att påräkna af den då i Andra kammaren befintlige professor Thyrén.</w:t>
        <w:br/>
        <w:br/>
        <w:t>Ja, hela denna sak har blifvit behandlad i en svindlande hast. De mer eller mindre sakkuniga korporationer, som skulle höras i frågan, hade icke fått någon som helst tid till öfvervägande af ärendets olika. sidor. Från läkarehåll hade endast hörts medicinalstyrelsen, och den hade fem dagar till att afgifva sitt utlåtande. Vidare hade frågan hänskjutits till reglementeringskommittén, som ännu icke afslutat sitt arbete, och den fick på fyra dagar fram ett utlåtande, hvari den förklarade sig icke hafva något att invända emot det framlagda förslaget.</w:t>
        <w:br/>
        <w:br/>
        <w:t>Det var redan då i slutet af Riksdagen, propositionen kom in den 20 maj, och den 1 juni behandlades frågan i kammaren. Den togs upp en sen nattimme, klockan öfver 12, och sammanträdet afslutades enligt protokollet kl. 4,24 f. m. Ärendet fick sålunda en synnerligen forcerad behandling, därvid helt visst känslorna och den tillfället uppjagade stämningen fingo i alldeles ovanligt hög grad fälla utslaget öfver</w:t>
        <w:br/>
        <w:br/>
        <w:t xml:space="preserve">den vägande eftertanken, ouktadt det här gällde ett ingrepp pa ett sång ändrad Läs | . ydelse af viktigt område som yttrandeoch tryckfriheten. Sö mom. 13 Under debatten, som trots den sena nattinmumen fördes i Andra tryckfrihetskammaren men enligt sakens natur blef mera sammanträngd än den förordskulle varit under andra förhållanden, lät professor Thyrén hela sitt ingen. fyrverkeri spela. Han gaf en drastisk utläggning af ämnet. Hans (Forts. skildringar voro afsedda att påverka åhörarnas föreställning i riktning af att här förel äg en ytterlig fara i något som helst dröjsmål, och det var förgäfves som sent emot hans väl, men kanhända också sofistiskt lagda ord det gjordes invändningar gällande från andra håll. Bland dem, som talade mot lagen, befunno sig professor Wallis och nuvarande professor Knut Kjellberg, hvilka med all sin läkareauktoritet ändå icke lyckades slå igenom för sin uppfattning. Mot lagen voro ju också bl. a. medlemmen af lagutskottet Jakob Pettersson och lagutskottets nuvarande ordförande herr Widén. Det skall icke nu falla mig in att här ens försöka mig på den uppgiften att på ett kort ögonblick ge en resumé af debatten. De, som åhörde den, komma nog ihåg dess bufvudsakliga gång. Men då här finnas så många, som icke hörde den och kanske icke följde den i referat heller, vill jag blott anföra två enstaka fakta ur densamma. Det ena är det efter mitt tycke mycket vägande uttalande, som låg i herr Widéns synnerligen korta men bestämda afstyrkande, däri han gjorde gällande, att lagen »saknar det underlag af allmängiltighet, som en lag bör hafva». Det andra faktum, som jag vill hänvisa på, är att det upplästes en skrifvelse, undertecknad at 66 läkare här i hufvudstaden, hvilka uttalade sina starka betänkligheter mot lagförslaget. I skrifvelsen framhöllo de, att de i många fall ansåge det vara läkarens plikt att tillråda bruket af antikonceptionella medel. Det hette i skrifvelsen vidare: &gt;»Om emellertid regeringens förslag blir lag, kommer härmed att ges stöd åt den uppfattningen, att en sträfvan att ”undgå följderna af könsumgänge” vore otillbörlig, oafsedt de till grund för densamma liggande motiven. Men då läkaren vid sitt tillrådande af antikonceptionella förfaringssätt låter sig ledas af en motsatt rättsuppfattning, kommer han härigenom i en skef ställning och tvingas — ehuru han icke gör sig skyldig till brott mot lagen — att genom sin verksamhet direkt motarbeta och undergräfva den i lagen häfdade rättsuppfattningen. — — Synnerligen betänkligt är dessutom, att lagen skulle skapa ett tillstånd af osäkerhet rörande hvad i en för allmänheten afsedd framställning, äfven från fullt sakkunnigt båll, fipge uttalas i hithörande frågor. Vissa af de preventivmedel, som af regeringens förslag beröras, utgöra verksamma medel mot venerisk infektion. — — Under sådana förhållanden kunna tvifvel därom råda, huruvida en lagstiftning är välbetänkt, som lägger utomordentliga hinder i vägen för bibringandet af en allmännare insikt därom, att "det är hvars och ens skyldighet, som utsätter sig för risken af venerisk infektion, att för sin egen, för blifvande </w:t>
      </w:r>
      <w:r>
        <w:rPr>
          <w:b/>
        </w:rPr>
        <w:t>hustrus²</w:t>
      </w:r>
      <w:r>
        <w:rPr>
          <w:b w:val="0"/>
        </w:rPr>
        <w:t xml:space="preserve"> och barns skull på det mest effektiva sätt söka skydda sig mot densamma.» Icke heller denna inlaga, bland hvars undertecknare märktes det stora flertalet af dem, som mera speciellt ägnat sig åt hithörande område af läkarvetenskapen, gjorde emellertid tillfyllest, utan under den</w:t>
        <w:br/>
        <w:br/>
        <w:t>iryckfrihets- Atskilligt efteråt sedan detta skett visade sig emellertid, då den</w:t>
        <w:br/>
        <w:br/>
        <w:t>juridiska proceduren mot herr Bergegren fullföljdes, att han icke fälldes af rådhusrätten för att ha gjort sig skyldig till tukt och sedlighet sårande uttalanden. Det tyckes sålunda däraf att döma, som om i alla fall en god del af den första uppbrusningen varit något svagt motiverad af hvad som verkligen förekommit. Emellertid var det nog många, som hyste den tanke, hvilken dåvarande justitieministern uttryckte med orden, att »det brinner i knutarna», och det var väl under förhoppning, att någonting skulle kunna göras däremot, och under förväntan, att det behöfdes något bestämdt ingripande, som man antog denna lag.</w:t>
        <w:br/>
        <w:br/>
        <w:t>Om nu den åskådningen skulle varit riktig, att det verkligen vore en sådan fara i dröjsmål, som man då tänkte sig, en fara 1 att vänta, till dess man kunnat få mera omsorgsfullt pröfva, hvilket område en dylik lag möjligen bör omfatta, då skulle det tyckas, som om ett sådant slag, som man nu riktade mot propagandan, borde haft till följd, att den sökt sig med kraft andra vägar för sin spridving. Det finnes särskildt en nära liggande väg, som man också börjat tillgripa, i att bilda enskilda föreningar, där hithörande frågor diskuterades och i hvilka enskilda föreningars slutna kretsar lagen ändå icke kan tränga in. Men dessa föreningar ha icke på något sätt, mig veterligen, spridt sig nämnvärdt vidare. Det visade sig alltså, att det var en upptflammande agitation för ett ögonblick, hvilken man med någon kallblodighet kunnat se på för att utröna, om den innebar en sådan sambhällsfara, som man trodde, innan man gick att genomföra den lagstiftning, som här ägt rum.</w:t>
        <w:br/>
        <w:br/>
        <w:t>Emellertid togs 1911 ytterligare ett steg vidare. 'Tryckfrihetsförordningen fick då följa med. Och det gäller nu, huruvida 1912 års riksdag vill konfirmera det beslut. som föregående år fattades eller i dess nuvarande skick afböja lagen. Från den debatt, som då fördes, ber jag blott att få erinra därom, att professor Thyrén vid det tillfället uttalade sin glädje öfver att man icke tagit med i paragrafens ordalydelse någon antydan om att syftet skulle vara af förkastlig art, för att ett fällande skulle kunna komma till stånd. Han gjorde detta uttalande ur synpunkten af att därigenom var definitivt afklippt hvarje möjlighet för allehanda geschäftsmakare att stödja sin handtering på ett förment godt moraliskt eller sanitärt syfte. Men han ägnade icke minsta uppmärksamhet åt den andra sidan af saken, att nämligen denna lag icke blott är till för sådana föga sympatiska geschäftmakare, utan också kommer att i sin tillämpning gå ut öfver allvarliga och fullt moraliskt vederhäftiga personer, hvilka anse sig böra diskutera dessa ting ur synpunkter, som göra, att de kunna komma i konflikt med lagen. Att det icke skall finnas någon som helst möjlighet för lagskipningen att taga hänsyn till olikheten i syften mellan dessa två kategorier synes mig åtminstone som en mycket svår brist. Det skrefs också då i en tidningsartikel med all rätt, att den nya grundlagsparagrafen »slår blindt och lika mot författare af osmakligt formulerade geschäftsreklamer och mot samhällsforskare, hvilka kommit till</w:t>
        <w:br/>
        <w:br/>
        <w:t>den ärliga öfvertygelsen, att dessa medel i många fall faktiskt äro tilldng. ändrad räddning från djupt eländ lydelse af äddning från djupt elände.» SI mom. 13</w:t>
        <w:br/>
        <w:br/>
        <w:t>Det är den synpunkten, som man alldeles särskildt har skäl attiryckfrihetsfästa sig vid i afseende på tryckfrihetslagen, då ju denna såsom grund- = förordlag är underkastad den bestämmelsen, att den skall efter sin orda- —"”NJen: lydelse tillämpas. Det framhölls också förgäfves då i Första kammaren (Horta. af professor Steffen, att det är risk för, att läkarnas kamp mot de veneriska sjukdomarna kan komma att bli lidande under de nya bestämmelserna, och äfven att samhällsforskarnas fria diskussion på hithörande oändligt viktiga område kan bli försvårad, samt att man således icke bör utan att ordentligt se till, att man verkligen får garantier i dessa afseenden, godkänna en sådan lag. Men det var klart att många resonerade som så, att har man sagt a, så måste man säga b, och så godkändes då i fjol denna lag, äfven beträffande tryckfrihetsförordningen.</w:t>
        <w:br/>
        <w:br/>
        <w:t>Nu stå vi inför det slutliga afgörandet. Har det sedan dess tillkommit någonting, som möjligen kan vara ägnadt att inverka på vart omdöme i dessa afseenden? För mig står saken så, att de skäl, som från början anfördes i denna diskussion gentemot det framlagda förslaget, icke blifvit på något som helst sätt verkligen öfvertygande vederlagda, utan de stå i full giltighet fortfarande. Således ha vi, som motsatt oss denna lags antagande både i strafflagen och tryckfrihetsförordningen, alla skäl att redan på grund af hvad som förut förelåg fortfarande vidhålla denna vår ståndpunkt. Men det är icke utan, att därjämte andra synpunkter ha kommit fram, som synas mig ytterligare vara till stöd för vår uppfattning.</w:t>
        <w:br/>
        <w:br/>
        <w:t>Ställningen har ju blifvit den, att den reglementeringskommitté, som ett ögonblick 1910 rådfrågades och gaf sitt korta och på nägra få dagar framkomna utlåtande, har sedan dess framlagt sitt högintressanta betänkande, sitt utförliga och viktiga resultat af långvarigt arbete. Detta betänkande har sedan börjat diskuteras i de särskildt sakkunniga kretsarna, och man får väl hoppas, att det snart nog skall bli utgångspunkten för lagstiftningsåtgärder och andra samhällsingripanden på hithörande områden, hvarigenom vi kunna komma fram till mindre barbariska och mera moderna tillstånd på detta fält. Da synes det mig emellertid, som om det skulle vara lämpligt, att man icke ögonblicket före en sådan stor debatts upprullande angående frågor, som nära tangera det område, som af den nu ifrågavarande lagstiftningen skulle beröras, binder sig på förhand vid en formulering sådan som den nu föreliggande. Jag tror, det skulle vara gagneligt och nyttigt, om man hade mera fria händer vid dessa ärendens behandling, än om man låst fast icke blott i strafflagen, som möjligen kan något lättare jämkas, utan äfven i grundlagen en formulering, som kanske icke varit från början så väl öfvervägd.</w:t>
        <w:br/>
        <w:br/>
        <w:t>I själfva verket har det också i den påbörjade diskussionen om reglementeringskommitténs utlåtande framkommit uttalanden, som gå just i den riktningen. Man har i svenska läkaresällskapet börjat debattera denna sak den 28 november sistlidet år, och där har inledaren af denna debatt, en framstående specialist på könssjukdomarnas område, för sin del ställt sig alldeles afgjordt på den ståndpunkten, att</w:t>
        <w:br/>
        <w:br/>
        <w:t>beklagar och anser det mindre lyckligt, att icke kommittén påpekat vikten af den personliga profylaxen, då den gick att göra sitt utlåtande beträffande lagstiftning om preventiva medel. Hans tankesäng torde kunna sammanfattas på ungefär följande sätt: »Under lagen hemfaller ju propaganda ej blott för de mekaniska preventiva medlen, hvilka på samma gång de verka profylaktiskt mot venerisk sjukdom verka antikonceptionellt, utan äfven propaganda för sådana atgärder, som endast verka profylaktiskt mot venerisk sjukdom. Dessa kemiska medel äro sannolikt vida effektivare till att förebygga smitta än de mekaniska medlen.</w:t>
        <w:br/>
        <w:br/>
        <w:t>På sista åren har man lärt sig inse, att det allmänna endast kan göra ofantligt litet till förebyggande af de veneriska sjukdomarna. Reglementering och dylika åtgärder ha gjort bankrutt, något som till fullo framgår af reglementeringskommitténs betänkande. Den individuella profylaxen är det enda, som är effektivt.</w:t>
        <w:br/>
        <w:br/>
        <w:t>Hvad som föranledt framläggandet af preventivlagen är ju, utom att man ville komma åt Hinke Bergegren, att man ansett, att de preventiva medlen orsaka en minskning i nativiteten och därför vore i samhälleligt afseende skadliga. Men man har begått den obetänksamheten att kanske på grund af bristande tid (reglementeringskommittén afgaf svaret efter fyra dagar och medicinalstyrelsen efter fem) taga med under lagen sådana medel, som ej alls kunna hafva till effekt minskning i nativiteten, hvilket väl måste anses vara ett mycket svårt fel.» .</w:t>
        <w:br/>
        <w:br/>
        <w:t>Talaren framhåller vidare i sitt inledningsanförande i svenska läkarsällskapet följande beträffande motstycket till denna lag i Tyskland: »I Tyskland har man allt sedan 1898 haft en liknande lag, Lex Heinze, tillkommen som en lex in casu liksom vår »lex Hinke»&gt;, hvilken lag under årens lopp tolkats allt vidsträcktare, så att tillståndet blifvit allt odrägligare, och för att få bort denna, det svåraste hindret för de smittosamma könssjukdomarnas bekämpande i Tyskland, reser sig för närvarande en mäktig opinion därstädes, och som yttring af denna står den af Deutsche Gesellschaft fär Bekämpfung der Geschlechtskrankheiten enstämmigt fattade resolutionen». (Jag skall strax komma till den). »Hade kommittén i sitt betänkande i enlighet med den medicinska vetenskapens ståndpunkt och oberoende af en tillfällig moralpolitisk vind framhållit de preventiva åtgärdernas stora betydelse, ja nödvändighet, i kampen mot de veneriska sjukdomarna, skulle kanske den olyckliga lex Hinke aldrig vinna laga kraft, hvad den tryckta propagandan beträffar.»</w:t>
        <w:br/>
        <w:br/>
        <w:t>Detta uttalande är ju synnerligen betecknande för, hur saken uppfattas af en af dem, som förstå betydelsen af denna lag för läkarvetenskapens bekämpande af könssjukdomarna.</w:t>
        <w:br/>
        <w:br/>
        <w:t>Hurudan är då ställningen i Tyskland, som talaren berörde? Jo, vid den kongress, som under ledning af Tysklands mest framstående specialister på detta område hölls i Dresden i somras, där som bekant den stora hygieniska utställningen var anordnad, så yttrade professor Neisser, som i Tyskland lär vara det kanske förnämsta namnet i fråga om könssjukdomarna, bland annat följande: &gt;Den, som har sett vår utställning i vår särskilda paviljong, har</w:t>
        <w:br/>
        <w:br/>
        <w:t>Måndagen den 29 januari. 35 Nr 3. säkert med förvåning märkt, att där icke finnes någonting af egentligAng. ändrad hygien». I själfva verket hade det ju legat närmast till hands att i gupelse ar. första rummet förevisa alla de hygieniskt-profylaktiska åtgärder, som iryckfriketsäro afsedda att förebygga smitta. Men, mina damer och herrar, vi ha ”förordunderlåtit det. Och, hvarför? Jo, emedan ingen af oss kände lust att ningen. bli anklagad och dömd för understödjande af otukten, och det hade (Forts) varit den oundvikliga följden, om vi hade utställt skyddsmedel. Ja, mina damer och herrar, t. o. m. en liten, strängt vetenskaplig skrift, som härrör från mig och d:r Siebert och handlar om detta ämne, har jag icke vågat lägga fram».</w:t>
        <w:br/>
        <w:br/>
        <w:t>Detta är det tillstånd, till hvilket man har kommit i Tyskland</w:t>
        <w:br/>
        <w:br/>
        <w:t>under en successiv skärpning af utläggningen af den där gällande lagparagrafen, hvilken är ett fullständigt motstycke till den svenska. Resultatet af den debatt, som på denna kongress fördes af fackmännen — för öfrigt ingalunda blott af läkarfackmän, som någon kanske kunde tro skulle se saken något ensidigt, utan äfven af sociologer och socialpolitici, jurister och andra — blef det enhälliga antagandet af den resolution, som berördes i det uttalande, jag nyss läste upp ur Hygiea. Resolutionen lyder på följande sätt: »Då den nu gjorda utläggningen af $ 184 innesluter i sig ett svårt skadande af folkets hälsa och för närvarande nästan omöjliggör bekämpandet af könssjukdomarna på det sätt, som planmässigt inledts af det därtill grundade samfundet under det vidsträcktaste understöd af den tyska läkarkåren liksom af härför ägnade kretsar, och då å andra sidan en ändring i rättsskipningen knappast är tänkbar, så kan detta missförhållande endast afhjälpas genom en förändring i formuleringen af ifrågavarande bestämmelser. Dessa böra gestaltas så, att för straffbarhet endast och allenast bör tagas hänsyn till det objektivt fastställbara kännetecknet, att det föreligger för anständigheten groft sårande eller allmän anstöt väckande tillkännagifvande om eller rekommenderande af otuktiga föremål».</w:t>
        <w:br/>
        <w:br/>
        <w:t>Man syftar således till betydligt strängare bestämmelser, som verkligen rikta sig mot hvad alla äro ense om är otjänligt och bör tillbakaträngas, till en vida mer kringskuren lagstiftning än den, som finnes i vår nu föreliggande paragraf, där det heter endast och allenast »under sådana förhållanden att allmän fara för andras förförelse däraf kommer, försök att förleda till användande af föremål, som nu sagts, och meddelande af anvisning om sättet för deras användande&gt;.</w:t>
        <w:br/>
        <w:br/>
        <w:t>Det bör kanske tilläggas ännu en upplysning. De, som voro med om debatten för två år sedan, erinra sig nog hvilket stort nummer, som gjordes af professor Thyréns framställning af förhållandena i Frankrike. Han kom fram med upplysningar om särskildt en del -domstolsutslag, som i sina motiveringar riktade sig på det skarpaste mot hvarje slags propaganda för preventiva medel såsom antipatriotisk och antimoralisk o. s. v. Detta skulle efter hans uppfattning visa, att i Frankrike meningen var stadgad om att faran för afstannande af folkökningen måste undertrycka alla andra hänsyn. Icke desto mindre föreligger just från Frankrike det förhållandet, att man där icke velat gå den vägen att helt och hållet försöka förhindra kunskap om dessa ting, utan i stället, efter hvad som upplysts, har man i Frankrike, det land, där man ju är mest rädd för minskning i nativiteten, visat sig</w:t>
        <w:br/>
        <w:br/>
        <w:t>fallet i Usterrike. Men just i Frankrike är det af intresse att se, att man där söker skilja på, hvilket man i den nu föreliggande lagstiftningen icke gjort, sådant, som rör nativiteten, och sådana profylaktiska medel och åtgärder, som röra skyddet mot smittofara. Att den synpunkten, att minskningen i steriliteten skulle kunna rent af uppväga hvad eljest dessa medel kunna medföra till försvagande af nativiteten, att den synpunkten icke är utan vidare att afvisa, framgår äfven däraf, att nyss nämnde professor Neisser uttalat, att åtminstone 50 4 af alla ofruktsamma äktenskap framkallats just af en bland dessa könssjukdomar, hvilken man åtminstone förr betraktat med rätt mycken nonchalans.</w:t>
        <w:br/>
        <w:br/>
        <w:t>Det synes mig således verkligen ha äfven under senaste tid tillkommit yterligare synpunkter, tillkommit erfarenheter om, att man i Tyskland är starkt missnöjd med där rådande förhållanden, hvilka äro precis desamma, som vi i Sverige hastigt skulle uppnå med den nya lagen, och att denna således icke kan sägas vara sådan, att den skulle bli till verkligt gagn, utan att det alltför väl kunde behöfva närmare ses efter, huru dessa föreskrifter böra affattas, så att de icke bli ett hinder i den riktning, som jag förut angifvit, för fullt legitim och sambhällsgagnelig forskning.</w:t>
        <w:br/>
        <w:br/>
        <w:t>Vi ba dessutom, synes det mig, så mycket mera anledning att i detta fall vara betänksamma och icke nu säga ja, när vi besinna, att vi i en nära framtid antagligen få upp tryckfrihetsförordningen till fullständig revision. Kan det då vara nyttigt att på förhand fastlåsa denna paragraf med det resultat — det synes mig åtminstone ligga nära till bands — att de, som ha med förordningens revision att skaffa, betrakta själfva beslutet af 1912 års Riksdag som så bindande, att de icke vilja där ens försöka någon ändring. Jag tror, det är bättre att hålla denna fråga öppen och låta den då komma fram.</w:t>
        <w:br/>
        <w:br/>
        <w:t>Men dessutom är det, som jag redan påpekat, så, att vi i en nära framtid få att behandla reglementeringskommitténs betänkande och hvad därtill hör. Där böra väl meningarna något mera än hittills brytas. Det kanske finnes erinringar att göra äfven mot de synpunkter, som här framförts från några medicinska håll, och det hela vinner öfver hufvud taget på, att det blir mera belyst, innan det fastslås någonting. Låt oss då sedan skrifva en lag, som icke hindrar läkarnas välsignelsebringande kamp mot könssjukdomarna, en kamp, hvars betydelse förut just denna lags upphofsman, professor Thyrén, många gånger på det lifligaste framhållit. Att man skulle gå något mera färsiktigt tillväga än att följa den uppjagade stämningens bud, var också den tanke som fick ett uttryck i de reservationer, som vid 1910 års riksdag förekommo i lagutskottet, dels af herr Lindhagen, som yrkade afslag, och dels af herrar Pettersson 1 Södertälje, Jansson i Edsbäcken och Olsson i See, hvilka nog ansågo att någonting borde göras, men som icke voro beredda och icke funno sig benägna att trots vägande be-</w:t>
        <w:br/>
        <w:br/>
        <w:t>tänkligheter taga det då framlagda förslaget. I det afseendet trorAng. ändrad jag, att tiden endast gett dem rätt och kommer, om denna lag. god- SY mon a kännes, ytterligare att gifva dem rätt. Men jag förstår inte, att det ryckfriketeskall vara någonting eftersträfvansvärdt, att vi 1 ett eller annat årtionde ”förordskola dragas med de ogynnsamma följder, som komma genom lagstiftningen. ning på detta sätt, innan det omsider skall lyckas en växande upplyst = (Forts.) opinion att få det hela så ändradt, att det goda kan ske, utan att det onda därför tillåtes.</w:t>
        <w:br/>
        <w:br/>
        <w:t>Jag tror, det är skäl för kammaren att betänka sig ordentligt, innan den säger sitt definitiva ja denna gång. Då ju en grundlagsförändring får företagas till slutligt afgörande först efter nya val, så är meningen därmed att det skall vara tillfälle till verkligt öfvervägande, och att icke den nya kammaren skall utan. vidare anse sig bunden till de lagstadganden, som äro antagna af dess föregångare.</w:t>
        <w:br/>
        <w:br/>
        <w:t>Herr talman, jag yrkar afslag på föreliggandee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1198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