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w:t>
      </w:r>
    </w:p>
    <w:p>
      <w:r>
        <w:rPr>
          <w:b/>
        </w:rPr>
        <w:t xml:space="preserve">Datum: </w:t>
      </w:r>
      <w:r>
        <w:t>1912-02-21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Mörner (Liberala samlingspartiet, man)</w:t>
      </w:r>
    </w:p>
    <w:p>
      <w:r>
        <w:rPr>
          <w:b w:val="0"/>
        </w:rPr>
        <w:t>Herr talman, mina herrar! Då utskottet inbämtat, att det i min nu ifrågavarande motion afsedda ämne kommer att bli föremål för den s. k. nykterhetskommitténs uppmärksamhet, och att kommitténs arbeten komma att bedrifvas med största skyndsamhet, ämnar jag icke göra något särskildt yrkande utan anser det hufvudsakligaste ändamålet med motionen vara vunnet. Jag anhåller emellertid vid detta tillfälle få afge en förklaring öfver denna motions tillkomst.</w:t>
        <w:br/>
        <w:br/>
        <w:t>Till nykterhetssträfvandena bör väl hvarje fosterlandsvän ställa sig sympatisk och välvillig. Dock torde man icke kunna förneka, att de senaste årens nykterhetssträfvanden varit väl ensidiga. Rörelsen har allt mera öfvergått till att påyrka de längst gående restriktiva bestämmelser i fråga om tillhandahållandet af spritdrycker. Stora skaror af nykterhetsfolket se för frågans lösning ingen annan utväg än absolut förbud, omfattande hela riket. Jag tror, att rörelsen härigenom lätt kan komma på villovägar. Innan man går till sådana ytterlighetsåtgärder, böra väl dock andra medel försökas, som mindre ingripa i den enskildes frihet. Nämnda sträfvanden leda ju lätt till att försätta folket i ett omyndighetstillstånd, där samhället söker genom att borttaga frestelserna hindra sina svaga medlemmar att falla offer för dem. Detta kan väl icke vara en sund uppfostringsmetod, utan man bör snarare söka stärka karaktären, så att frestelserna kunna öfvervinnas, samtidigt som man söker genom lämpliga medel bistå och hjälpa de svaga i striden mot uppstående frestelser. Nykterhetsrörelsen synes under de senare åren hafva utvecklat sig alltför mycket efter negativa linjer i stället för positiva.</w:t>
        <w:br/>
        <w:br/>
        <w:t>Ett sådant godt positivt och praktiskt förslag i striden mot superiet har jag trott mig finna i en sänkning af det egentliga brännvinets alkoholhalt. Därigenom skulle dess rusverkan afsevärdt minskas och faran af dess begagnande till stor del undanrödjas. Vi ha nu i Sverige starkare brännvin än exempelvis i Danmark och Norge, och ehuru alkoholkonsumtionen per individ i Sverige är väsentligt lägre än i Danmark, äro nog alkoholens skadliga verkningar vida större hos oss. Detta beror i hög grad på brännvinets</w:t>
        <w:br/>
        <w:br/>
        <w:t>styrka, som gör en sup af svenskt brännvin mycket mera berusande än en sup af danskt.</w:t>
        <w:br/>
        <w:br/>
        <w:t>Hvarför är då vårt svenska brännvin så starkt? Jo, härpå kan man med en viss grad af sanning svara: det är lagens eget fel. Lagen föreskrifver nu, att brännvin, som säljes i detaljhandel, icke får ha lägre alkoholhalt än 35 procent. Denna gräns var ursprungligen 46 procent men sänktes år 1888 till 40 procent och år 1905, på grund af en af herr Wieselgren väckt motion, till den nuvarande gränsen, 35 procent. Det förefaller alldeles obegripligt, hvarför lagen beträffande en vara, som alldeles ostridigt är skadligare, ju starkare den är, föreskrifver, att den icke får vara oskadligare än till en viss gräns. Ju svagare den vore, desto bättre vore väl detta ur nykterhetens synpunkt. Man kan invända, att den, som nu nöjer sig med en sup, skulle kanske då taga två, hvilket väl blefve värre. Men jag tror, att antalet af dem, som ekulle fortfarande nöja sig med en sup, komme att vida öfverstiga deras, som af nu angifna anledning toge flera. Och i hvarje fall, då alkoholen icke inkommer i organismen med samma styrka på en gång, blir verkan däraf icke lika stor. I det afseendet kan man åberopa en jämförelse med utlandet, där brännvinet är svagare.</w:t>
        <w:br/>
        <w:br/>
        <w:t>Såsom anledning till att staten sätter denna gräns har man uppgifvit, att staten ville skydda köparne för bedrägeri. Bedrägeriet skulle bestå däruti, att dessa finge mera utspädt brännvin, än de kunde vilja ha. Detta är väl dock absurdt. En sådan garanti för en varas beskaffenhet har staten, så vidt jag känner, icke eljest iklädt sig, annat än beträffande handeln med ädla metaller, där detta haft särskild orsak. Eljest är det ju öfverlåtet till den fria konkurrensen att ordna förhållandena så, att varans pris kommer att af sig själft rätta sig efter halten af dess värdebestämmande beståndsdelar. Men att föreskrifva, att man icke alls får sälja en vara, som har en viss låg procenthalt af något ämne — detta kan väl icke gärna vara statsändamål i andra afseenden, än då varan genom sin låga procenthalt af ifrågavarande beståndsdel är hälsovådlig eller skadlig, så att man på den grund måste skydda allmänheten för densamma.</w:t>
        <w:br/>
        <w:br/>
        <w:t>Här är ju förhållandet alldeles motsatt. Här äro de starkaste gradtalen de farligaste. Jag har därför funnit det vara en från alla synpunkter berättigad åtgärd, att minimigränsen helt och hållet borttages.</w:t>
        <w:br/>
        <w:br/>
        <w:t>Motionen innehåller äfven ett annat yrkande. Vår lag saknar, underligt nog, för närvarande någon maximigräns för alkoholhalten i brännvin. Jag ber att få påpeka, att det är här endast fråga om egentligt brännvin. Det är icke fråga om likörer, konjak och dylika starkare varor, som icke tillverkas inom landet, hållas i betydligt högre pris och äro föremål för jämförelsevis obetydlig konsumtion i det stora hela. Det är blott fråga om, så att säga, den stora folkdrycken, egentligt brännvin. Då ostridigt denna är skad-</w:t>
        <w:br/>
        <w:br/>
        <w:t>ligare, ju starkare den är, synes fastställande af en maximigräns motiveradt. Detta är visserligen också i viss mån ett intrång på. den enskildes frihet men i hvarje fall ett intrång i rätt riktning och det är mindre intrång, än om man skulle bli nödsakad att uppställa absolut förbud. Det är en åtgärd, som man bör försöka, innan man går till ytterligheter.</w:t>
        <w:br/>
        <w:br/>
        <w:t>För dem, som liksom jag, se ett ondt och för land och folk farligt experiment i ett absolut spritförbud, som omfattar hela riket, erbjuder sig den af mig angifna metoden att minska de svåraste olägenheterna af spritförbrukningen såsom en utväg, om hvilken man lämpligen bör kunna förena sig för att nalkas målet. Jag vill visst icke säga, att icke andra medel finnas, som äfven böra anlitas. För visso är det så! Men den angifna metoden synes på senare tiden hafva blifvit alltför mycket förbisedd, och därför har jag velat fästa uppmärksamheten på den.</w:t>
        <w:br/>
        <w:br/>
        <w:t>Jag hade från början tänkt söka komplettera systemet genom förslag om införande af en, i förhållande till alkoholhalten, progressiv skatt på saluhållet brännvin. Detta befanns emellertid vid närmare studium så inveckladt och svårt, att jag hvarken hade tid eller tillfälle att fullständigt utreda saken. Den tanken synes mig dock alldeles riktig, att starkare brännvin bör göras icke blott proportionellt dyrare, allt efter dess alkoholhalt, utan progressivt dyrare än svagare brännvin. Därigenom synas brännvinsförsäljare skola få ekonomiskt intresse af att tillhandahålla svagare brännvin. Härigenom skulle åt nykterhetsvännerna beredas en kraftig hjälp.</w:t>
        <w:br/>
        <w:br/>
        <w:t>Jag anhåller till sist att få rekommendera denna tanke till benäget öfvervägande af den pu tillsatta nykterhetskommittén, och har, herr talman, intet yrkande.</w:t>
        <w:br/>
        <w:br/>
        <w:t xml:space="preserve">Mannen hafve ej makt att sälja, skifta, bortgifva eller med inteckning för gäld, eller med servitut belasta </w:t>
      </w:r>
      <w:r>
        <w:rPr>
          <w:b/>
        </w:rPr>
        <w:t>hustruns²</w:t>
      </w:r>
      <w:r>
        <w:rPr>
          <w:b w:val="0"/>
        </w:rPr>
        <w:t xml:space="preserve"> enskilda fasta egendom eller sådan egendom, som makarna under äktenskapet gemensamt förvärfvat och som af mannen förvaltas, utan att han hafver </w:t>
      </w:r>
      <w:r>
        <w:rPr>
          <w:b/>
        </w:rPr>
        <w:t>hustruns²</w:t>
      </w:r>
      <w:r>
        <w:rPr>
          <w:b w:val="0"/>
        </w:rPr>
        <w:t xml:space="preserve"> frivilliga ja och underskrift i tvenne godemäns närvaro, ej heller utan sådant samtycke sluta aftal, hvarigenom å egendomen lägges servitut, eller upplåta rätt till afkomst af egendomen eller rätt att annorledes än för egendomens behof afverka skog därå.</w:t>
      </w:r>
    </w:p>
    <w:p>
      <w:pPr>
        <w:pStyle w:val="Heading2"/>
      </w:pPr>
      <w:r>
        <w:t>2. Fredrik Holmquist (Liberala samlingspartiet, man)</w:t>
      </w:r>
    </w:p>
    <w:p>
      <w:r>
        <w:rPr>
          <w:b w:val="0"/>
        </w:rPr>
        <w:t>Herr talman! Jag skall icke drista mig att framställa något yrkande om bifall till den i ämnet väckta motionen, ehuruväl jag anser, att denna motion är fotad på ganska goda grunder och särskildt att dess bärande tankar återgifvits i den vid utskottets utlåtande fogade reservationen. Men då den fråga, som i lagutskottets föreliggande utlåtande beröres eller frågan om äkta makars egendomsförhällanden, efter min mening, är en af de största lagstiftningsfrågor, som för närvarande föreligga på familjerättens område, tillåter jag mig till dagens protokoll uttala några tankar.</w:t>
        <w:br/>
        <w:br/>
        <w:t xml:space="preserve">Går man tillbaka till denna frågas historik under de närmaste årtiondena, synes det mig, att lagstiftningsarbetet varit prägladt af ett egendomligt vacklande emellan olika principer. Det har efter min mening varit ett försök att på ett gammalt kläde fästa nya klutar. Då år 1898 den lagstiftning tillkom, som borde haft karaktären af en viss slutgiltighet, hade den knappast trädt i kraft, förrän yrkanden om ändringar framställdes såvälinom Riksdagen i motionsväg som äfven ute i bygderna. Riksdagen skref också år 1903 till Kungl. Maj:t och påpekade vissa förhållanden, och jag skall tilllåta mig i kammarens minne upprepa denna skrifvelses kläm. Den består enligt min mening endast af slingor af ord, där den ena satsen äter upp den andra och den ena tanken paralyserar den andra, och hvad som sedan återstår är, efter min uppfattning, knappast någonting. I den skrifvelse, som jag nu tillåtit mig så karaktärisera, anhåller Riksdagen, »att Kungl. Maj:t täcktes taga i öfvervägande, i hvad mån gällande lagstiftning om </w:t>
      </w:r>
      <w:r>
        <w:rPr>
          <w:b/>
        </w:rPr>
        <w:t>hustrus²</w:t>
      </w:r>
      <w:r>
        <w:rPr>
          <w:b w:val="0"/>
        </w:rPr>
        <w:t xml:space="preserve"> rättsliga ställning kunde för jämkning eller förtydligande böra omarbetas i syfte att, utan väsentlig rubbning af de grunder, hvarpå denna lagstiftning hvilade, </w:t>
      </w:r>
      <w:r>
        <w:rPr>
          <w:b/>
        </w:rPr>
        <w:t>hustrus²</w:t>
      </w:r>
      <w:r>
        <w:rPr>
          <w:b w:val="0"/>
        </w:rPr>
        <w:t xml:space="preserve"> rättsställning måtte blifva mera klart och följdriktigt bestämd än för närvarande, samt </w:t>
      </w:r>
      <w:r>
        <w:rPr>
          <w:b/>
        </w:rPr>
        <w:t>hennes²</w:t>
      </w:r>
      <w:r>
        <w:rPr>
          <w:b w:val="0"/>
        </w:rPr>
        <w:t xml:space="preserve"> myndighet, i den mån den ej ansåges böra af mannens målsmansskap begränsas, klart och tydligt i lagen varda uttryckt, och därefter för Riksdagen framlägga förslag till de lagbestämmelser i ämnet, hvartill förhållandena kunde föranleda.&gt; Ja, herr talman, jag trotsar någon att i den klämmen kunna afläsa hvad Riksdagen menade ens i några detaljer.</w:t>
        <w:br/>
        <w:br/>
        <w:t>Mot denna bakgrund af vacklande lagstiftningsprinciper — såsom jag tillåtit mig karaktärisera det gångna lagstiftningsarbetet — träder i utskottets utlåtande fram en oas i öknen. Denna oas återfinnes i det uttalande, som gjorts af de delegerade, som fått i uppdrag att uppgöra ett förberedande förslag till samarbete på detta lagstiftningsområde mellan Sverige, Norge och Danmark. I detta uttalande framställdes bland annat en maning att öfvergifva den</w:t>
        <w:br/>
        <w:br/>
        <w:t>mellan olika principer haltande ställning, som nu gällande lagstiftning intager.</w:t>
        <w:br/>
        <w:br/>
        <w:t>Lagutskottet har själf bedömt denna lagstiftning, då uti dess utlåtande här säges, att på detta område lagstiftningen »företer en brist på system och enhet, som gör lagstiftningen om äkta makars egendomsförhållanden till en bland de mest svårtydda och svårtilllämpliga i hela vårt lagsystem&gt;.</w:t>
        <w:br/>
        <w:br/>
        <w:t>Då man känner — åtminstone de, som under en lång följd af år haft plikten att tillämpa vår svenska lag — hvad det betyder att röra sig med ett lagsystem, som är det mest svårtydda och svårtillämpliga i den vägen, förstår man den ganska kraftiga dom, som ligger i detta lagutskottets uttalande. Jag tror, att lagutskottet i den delen haft fullkomligt rätt, och jag tror knappast, att jag af någon skall blifva emotsagd, då jag tillåter mig att uttala detta.</w:t>
        <w:br/>
        <w:br/>
        <w:t>Hvad jag med detta velat säga är endast att i dagens protokoll framlägga en vördsam maning till dem, som makten hafva, att, då förslag framkommer till detta lagstiftningsarbetes fortsättande, man icke måtte låta ohördt förklinga den maning, som de delegerade uttalade, då de hemställde, att detta vacklande mellan olika principer och denna haltande ställning måtte öfvergifvas.</w:t>
        <w:br/>
        <w:br/>
        <w:t>Till detta vill jag endast lägga ännu ett par ord. Uti lagutskottets utlåtande förekommer på olika ställen det ljufliga glada bådskapet, att utskottet har den förhoppningen, att inom en nära liggande framtid man skall kunna motse ett förslag på detta område rörande makars egendomsförhållanden. Jag vill endast hoppas, att hvad utskottet sålunda uttalat icke måtte komma på skam, ty här är periculum in mora.</w:t>
        <w:br/>
        <w:br/>
        <w:t>Herr talman! Jag tillåter mig icke att framställa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