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1239</w:t>
      </w:r>
    </w:p>
    <w:p>
      <w:r>
        <w:rPr>
          <w:b/>
        </w:rPr>
        <w:t xml:space="preserve">Datum: </w:t>
      </w:r>
      <w:r>
        <w:t>1913-03-11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Robert Lundblad (Lantmanna- och borgarepartiet inom andrakammaren, man)</w:t>
      </w:r>
    </w:p>
    <w:p>
      <w:r>
        <w:rPr>
          <w:b w:val="0"/>
        </w:rPr>
        <w:t>Herr talman! Jag skall be, herr talman, att vid denna punkt få säga några ord, men jag ber att få slippa epitetet kulturfientlig. Jag anser mig skyldig därtill, ehuruväl det endast är fråga om en skrivelse. Utskottet har nämligen vid behandlingen av denna motion kommit på den förnuftiga eller oförnuftiga idén att på kompromissens väg enas om en skrivelse till Kungl. Maj:t. Att Riksdagen skriver till Kungl. Maj:t är nu nära nog dagligt bröd. Sedan klagar man ute i landet över att Kungl. Maj:t tillsätter så många sakkunnige och uttedningskommittéer. Gör icke Kungl. Maj:t detta, utan ligger på frågan, kommer alltid någon riksdagsman och frågar: vad gör nu Kungl. Maj:t, som icke svarar på Riksdagens spörsmål? Ja, denna viktiga fråga anser statsutskottet böra av Kungl. Maj:t utredas, och naturligtvis vilja herrar ledamöter av Riksdagen snart ha svar därpå. Det handlar i realiteten icke om småpengar. Visserligen ha motionärerna nöjt sig med en anspråkslös summa av 100,000 kronor till att börja med för våra folkskolor på landsbygden. Ja, det är endast 2,000 kronor, som ifrågasatts till varje folkskola. Ja, det är ju en mycket anspråkslös summa. Jag tror för min del, att skall man få en effektiv undervisning i gymnastik, stoppar det icke vid 2,000 kronor för varje folkskola. Vad skulle det bli för detta land, som har 9,845 folkskolor? Jo, det skulle bli 19,690,000 kronor. Nu säger man: ja, denna siffra ha vi naturligtvis icke tänkt oss. Icke heller kan det vara ifrågasatt, att detta skulle utsträckas till alla folkskolor på landsbygden. Ja, har man icke tänkt sig det, då är det nog bäst att mota Olle i grind. Får den ena skolan ett statsbidrag av 2,000 kronor, kan jag icke förstå, varför icke också den andra skall få det. Och då komma vi till den summa, som jag nyss angav eller 19.690,000 kronor. Det är väl skäl att, innan vi behandla detta ärende, göra klart för oss, vad det egentligen innebär, och jag anser icke, att frågan kan behandlas på annat sätt av Kungl. Maj:t, än att antingen avslår Kungl. Maj:t Riksdagens framställning eller ligger på frågan, för att få påstötning av Riksdagen, eller också föreslår Kungl. Maj:t, att vi skola få gymnastiklokaler och gymnastikundervisning vid varje folkskola. Nu står jag på den ståndpunkten som lantman, att det är min fasta övertygelse, att lantmännens barn icke på långt när äro i så stort behov av gymnastik som barnen i städerna. Våra barn ha ofta en halvtimmes väg till skolan och en halvtimmes väg därifrån, ha dessutom 10 minuters rast efter varje lektion och röra sig i det fria och inandas mera frisk luft än stadsbarnen. Dessutom deltaga</w:t>
        <w:br/>
        <w:br/>
        <w:t xml:space="preserve">de i en del husliga sysslor etc. Detta gör, att gymnastiken icke Angående kan betraktas som något så absolut nödvändigt för landsbygdens USAs barn som för stadsbarnen. Om man kunde avlåta en skrivelse i Na landa” den riktningen, att den lilla gymnastik, som vi för närvarande ha, bygdens folkkunde helt utvecklas därhän, att lärare och </w:t>
      </w:r>
      <w:r>
        <w:rPr>
          <w:b/>
        </w:rPr>
        <w:t>lärarinnor³</w:t>
      </w:r>
      <w:r>
        <w:rPr>
          <w:b w:val="0"/>
        </w:rPr>
        <w:t xml:space="preserve"> vid seminaskolor. rierna finge en bättre utbildning för att undervisa i den gymnastik, (Forts.) som för närvarande finnes, d. v. s. sådana kroppsliga rörelser, som närmast äro att förlikna vid sjukgymnastik och som tillämpas i skolorna och kan ske i själva lärosalarne, då skulle jag icke draga saken i tvivelsmål, utan anse, att en sådan tanke vore värd ett välvilligt stöd. En fullständig gymnastikundervisning med därtill hörande attiralj slukar däremot, som vi veta, ofantliga summor.</w:t>
        <w:br/>
        <w:br/>
        <w:t>Jag har hört, att frågan behandlats i Första kammaren, där man voterat om densamma, och det ser ut, som hade majoriteten kommit att godkänna utskottets förslag, men jag skall dock för min del, herr talman, be att få yrka avslag och tillägga, att jag kommer att besvära kammaren med en votering i frågan.</w:t>
      </w:r>
    </w:p>
    <w:p>
      <w:pPr>
        <w:pStyle w:val="Heading2"/>
      </w:pPr>
      <w:r>
        <w:t>2. Värner Ryden (Socialdemokraterna, man)</w:t>
      </w:r>
    </w:p>
    <w:p>
      <w:r>
        <w:rPr>
          <w:b w:val="0"/>
        </w:rPr>
        <w:t xml:space="preserve">Herr talman! Det torde väl beträffande denna fråga förhålla sig så, att en av de viktigaste angelägenheter, som röra vårt folks fysiska fostran, är införandet av gymnastik i folkskolorna, så att den uppväxande ungdomen får tillfälle att öva sig däri. Gymnastiken har eu god inverkan med hänsyn till den uppväxande ungdomen och särskilt barnen, och jag för min del vågar bestämt hävda den meningen, att landsbygdens barn äro lika väl som städernas barn i behov av att få gymnastik. Landsbygdens barn ha nog mera tillgång till frisk luft och sol, men gymnastiken avser att utbilda en harmonisk kropp, och i det avseendet är jag övertygad, att landsbygdens barn äro lika väl som städernas i behov av gymnastik. Vi komma att i dag i nästa punkt behandla en annan fråga, som rör en annan del av vårt folks fysiska uppfostran, och då kommer helt säkert att vädjas till alla strängar, som finnas i ett medborgarbröst. Man kommer att peka på de segrar, som vunnos vid de olympiska spelen, och tala om den blågula flaggan, som vajade i toppen o.s. v., och detta kommer nog att röra mångas sinnen. Det kan icke falla mig in att spela på de strängarne. Jag var själv icke i tillfälle att övervara de olympiska spelen, men jag har av flera, som deltogo däri, hört den uppfattningen uttalas, att det vackraste, som sågs och visades under de olympiska spelen, var grupperna av de gymnaster, som med harmoniskt utbildade kroppar och med spänstiga steg marscherade in på Stadions stora bana, och det har sagts, att icke minst den danska truppen tilldrog sig allas uppmärksamhet och väckte beundran. Då är att märka beträffande den danska gruppen, att såväl de manliga som </w:t>
      </w:r>
      <w:r>
        <w:rPr>
          <w:b/>
        </w:rPr>
        <w:t>kvinnliga¹</w:t>
      </w:r>
      <w:r>
        <w:rPr>
          <w:b w:val="0"/>
        </w:rPr>
        <w:t xml:space="preserve"> deltagarne till största delen bestodo av landsbygdens barn, av bond-</w:t>
        <w:br/>
        <w:br/>
        <w:t>Och vad var månne den väsentligaste anledningen till att de kunde göra en så vacker uppvisning av den gymnastik, som de övade</w:t>
        <w:br/>
        <w:br/>
        <w:t>bygdens folkhemma i Danmark? Jo, den var, att den danska landsbygden har</w:t>
        <w:br/>
        <w:br/>
        <w:t>åtnjutit den förmån, som det här är fråga om att skapa för den svenska landsbygden. De danska gymnasterna ha under en lång följd av år haft att tillgå, där de så önskade, ett statsanslag av den beskaffenhet, som det här är fråga om att skapa.</w:t>
        <w:br/>
        <w:br/>
        <w:t>Gymnastiken har gamla anor i Sverige, och man kan säga, att om Sverige på den fysiska fostrans område har gjort en insats av stor betydelse, ja, jag vågar säga av betydelse för hela världen, så är det just på gymnastikens område. Det skulle väl då icke vara för mycket, om vi under det år, då vi fira 100-årsminnet av gymnastiska ceutralinstitutets tillvaro, om vi inför minnet av Per Henrik Lings stora livsgärning under detta år komme så långt, att man ginge till en utredning av frågan, huru man skulle kunna göra gymnastiken tillgänglig för landsbygdens barn och därmed göra denna tillgänglig för hela vårt folk.</w:t>
        <w:br/>
        <w:br/>
        <w:t>Jag yrkar, herr talman,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