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1273</w:t>
      </w:r>
    </w:p>
    <w:p>
      <w:r>
        <w:rPr>
          <w:b/>
        </w:rPr>
        <w:t xml:space="preserve">Datum: </w:t>
      </w:r>
      <w:r>
        <w:t>1914-07-08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I till riksdagen avlämnad proposition nr 188 hemställer bland annat Kungl. Maj:t, att fiksdapen mätte besluta, »att det under tionde huvudtiteln nu uppförda ordinarie anslaget å 243,640 kronor till Vadstena krigsmanshuskassa” må utgå ur samma huvudtitel och i stället därstädes uppföras två ordinarie anslag, det ena å 106,000 kronor, benämnt ”till arméns pensionskassa, ersättning för inkomster från Vadstena krigsmanshuskassas äldre medel och det andra å 137,640 kronor under titel "till Vadstena krigsmanshuskassa'.»</w:t>
        <w:br/>
        <w:br/>
        <w:t>Denna hemställan från Kungl. Maj:t har inkommit, sedan detta utskotts utlåtande blivit avlämnat till riksdagen. Det kan nu inträffa, att om riksdagen bifaller denna framställning, som göres i propositionen 188, att detta har inverkan på den nu föredragna punkten, och därför ber jag, herr talman, att få hemställa, att kammaren ville återremittera punkt 31 i detta utlåtande till bankoutskottet. Samma yrkande har framställts i första kammaren och av denna kammare bifallits.</w:t>
        <w:br/>
        <w:br/>
        <w:t xml:space="preserve">Med ändring av vad i 15 kap. 3 8 rättegångsbalken är stadgat därom, att den ej må vara fullmäktig, som själv under målsman står, förordnas, att gift </w:t>
      </w:r>
      <w:r>
        <w:rPr>
          <w:b/>
        </w:rPr>
        <w:t>kvinna¹</w:t>
      </w:r>
      <w:r>
        <w:rPr>
          <w:b w:val="0"/>
        </w:rPr>
        <w:t xml:space="preserve"> må utan hinder därav, att </w:t>
      </w:r>
      <w:r>
        <w:rPr>
          <w:b/>
        </w:rPr>
        <w:t>hon²</w:t>
      </w:r>
      <w:r>
        <w:rPr>
          <w:b w:val="0"/>
        </w:rPr>
        <w:t xml:space="preserve"> står under mannens målsmanskap, för andra tala och svara.</w:t>
      </w:r>
    </w:p>
    <w:p>
      <w:pPr>
        <w:pStyle w:val="Heading2"/>
      </w:pPr>
      <w:r>
        <w:t>2. Sven Persson (Socialdemokraterna, man)</w:t>
      </w:r>
    </w:p>
    <w:p>
      <w:r>
        <w:rPr>
          <w:b w:val="0"/>
        </w:rPr>
        <w:t xml:space="preserve">Herr talman! Som herrarne behagade finna, har jag tillåtit mig att anföra en reservation till detta utskottsbetänkande. Jag tillåter mig angående detsamma också erinra om vad motionären anfört, nämligen det olämpliga i att gifta </w:t>
      </w:r>
      <w:r>
        <w:rPr>
          <w:b/>
        </w:rPr>
        <w:t>kvinnor¹</w:t>
      </w:r>
      <w:r>
        <w:rPr>
          <w:b w:val="0"/>
        </w:rPr>
        <w:t xml:space="preserve"> icke skola äga rätt att inför domstol kära och svara för andra, även om de hava avlagt juridisk examen, under det att en man, oavsett i vilken ställning han står, och utan någon som helst juridisk bildning äger denna rätt.</w:t>
        <w:br/>
        <w:br/>
        <w:t>Motionären har emellertid icke nöjt sig med detta utan antagligen i känslan av att en ändring i detta avseende med nödvändighet skulle kräva upphävandet av målsmanskapet i allmänhet föreslagit ändring i 9 kap. 7 8 giftermålsbalken.</w:t>
        <w:br/>
        <w:br/>
        <w:t xml:space="preserve">Hela utskottet har varit enigt om att man givetvis icke vid detta tillfälle kan inlåta sig på någon mera ingående behandling av ändringar i giftermålsbalken och angående målsmanskapet i allmänhet, i synnerhet som dessa frågor ligga under särskild utredning, men däremot har utskottet varit enigt om behovet och lämpligheten av att man gör en särskild ändring i 15 kap. 38 rättegångsbalken, för att gift </w:t>
      </w:r>
      <w:r>
        <w:rPr>
          <w:b/>
        </w:rPr>
        <w:t>kvinna¹</w:t>
      </w:r>
      <w:r>
        <w:rPr>
          <w:b w:val="0"/>
        </w:rPr>
        <w:t xml:space="preserve"> skall få rätt att inför domstol kära och svara för andra än sig själv, något, som icke har med målsmanskapet i dess egentliga mening att skaffa.</w:t>
        <w:br/>
        <w:br/>
        <w:t>Utskottets motivering är synnerligen välvillig; den framhåller, att det har avsevärd betydelse för enskilda personer, att denna frågas lösning utan dröjsmål verkställes, vadan utskottet ansett, att motionen förtjänar att snarast möjligt leda till praktiskt resultat. Utskottet har vidare påpekat, hur detta skall kunna gå till, och ansett, att snarast möjligt en ändring bör komma till stånd, men inför svårigheten att skriva en lagparagraf har emellertid utskottet dragit sig och ansett, att denna sak bör gå den för lagfrågor regelmässiga vägen och hänskjutas till Kungl. Maj:t för utredning och övervägande samt därefter genom kungl. proposition komma in till riksdagen.</w:t>
        <w:br/>
        <w:br/>
        <w:t>Jag har emellertid för mitt vidkommande ansett, att så pass klar som saken ligger, så pass behjärtansvärd som den är och så pass enkel som den förefaller att vara, borde utskottet icke hava nöjt sig med en skrivelse till Kungl. Maj:t vari, begäres utredning om huruvida och på vad sätt o. s. v., utan utskottet kunde mycket väl själv hava gjort en dylik lagändring. Jag</w:t>
        <w:br/>
        <w:br/>
        <w:t>För det första kan man få en lagändring till stånd snarast möjligt redan under innevarande år, vilket är behövligt i synnerhet för de personer, vars levebröd i viss mån är beroende av att en dylik lagändring kommer till stånd. För det andra har jag ansett, att ändringen är synnerligen lätt att åstadkomma, och för det tredje har jag ansett det vara praktiskt att göra ändringen utan vidare och därigenom bespara Kungl. Maj:t ett onödigt arbete, bespara statsverket kostnader, visserligen ringa tryckningskostnader, och bespara riksdagen onödigt arbete att efter Kungl. Maj:ts utredning upptaga frågan på nytt.</w:t>
        <w:br/>
        <w:br/>
        <w:t>Jag har ansett, att lagutskottet borde kunna göra en lag, desto mera som lagutskottet vid tidigare tillfällen ingalunda dragit sig för att på enskilda motionärers framställning göra lagändringar. Jag skall tillåta mig erinra om, hurusom nästan varje år sedan 1898 — längre tillbaka har jag icke undersökt förhållandet — lagutskottet företagit sig att förelägga riksdagen förslag till av utskottet formulerade paragrafer, lagändringar, varav en del varit av den enkla innebörd som 1 här förevarande fall, men däremot en del varit av synnerligen omtvistad, synnerligen omfattande och synnerligen svår beskaffenhet. När lagutskottets majoritet har velat, och trott, att riksdagens majoritet har velat, då har man icke dragit sig för att göra lagparagrafer direkt. Jag erinrar i detta avseende blott om den s. k. åkarpslagen, vilken kom till stånd på yrkande av enskild motionär, utan att man därom skrivit till regeringen, utan att man hört lagrådet, utan att man företagit den grundliga utredning, som tydligen ifrågavarande lag hade varit 1 behov av, innan den godkändes av riksdagen. Men då ansåg man förhållandena kräva, att man omedelbart gick till handling, omedelbart förde fram en formulerad lagparagraf, och därför kom denna lag till stånd. Jag erinrar vidare om, hurusom vid två särskilda tillfällen man på rak arm vidtagit förändringar i anledning av enskilda motionäres yrkande, nämligen i 13 &amp; av 18 kap. strafflagen, den paragraf, som handlar om de s. k. preventiva medlen, och har man ansett sig utan någon föregående utredning av Kungl. Maj:t våga skriva denna lag. Jag erinrar vidare om, hurusom utskottet särskilt vid ett tillfälle företagit en så omfattande och svår lagskrivning, som den vilken gjordes år 1907, då man gjorde upp en hel liten lag med flera paragrafer angående ryttare-, soldatoch båtsmanstorp's befriande 1 vissa fall från ansvar för inteckningar å stamhemmanet etc.</w:t>
        <w:br/>
        <w:br/>
        <w:t>Jag kan här som sagt räkna upp ett fyrtiotal olika lagändringar, som företagits och beslutats av riksdagen, utan att det förelegat någon kungl. proposition. Det har varit på enskilda motionärers initiativ, som lagutskottet vågat sig på att tillstyrka detta.</w:t>
        <w:br/>
        <w:br/>
        <w:t>Nu föreslås av utskottet en skrivelse med begäran, att Kungl. Maj:t ville låta utreda, huruvida och på vad sätt jäm-</w:t>
        <w:br/>
        <w:br/>
        <w:t xml:space="preserve">väl gift </w:t>
      </w:r>
      <w:r>
        <w:rPr>
          <w:b/>
        </w:rPr>
        <w:t>kvinna¹</w:t>
      </w:r>
      <w:r>
        <w:rPr>
          <w:b w:val="0"/>
        </w:rPr>
        <w:t xml:space="preserve"> må kunna tillåtas att inför rätta föra annans Ång.rätt för talan. Huruvida </w:t>
      </w:r>
      <w:r>
        <w:rPr>
          <w:b/>
        </w:rPr>
        <w:t>hon²</w:t>
      </w:r>
      <w:r>
        <w:rPr>
          <w:b w:val="0"/>
        </w:rPr>
        <w:t xml:space="preserve"> bör tillåtas, den saken bör då vara klar gift </w:t>
      </w:r>
      <w:r>
        <w:rPr>
          <w:b/>
        </w:rPr>
        <w:t>kvinna¹</w:t>
      </w:r>
      <w:r>
        <w:rPr>
          <w:b w:val="0"/>
        </w:rPr>
        <w:t xml:space="preserve"> att efter den starka motivering, som lagutskottet i sitt utlåtande f talan. presterat, och på vad sätt det skall ske, torde vara rätt en- (Forts.) kelt även för riksdagen att avgöra på rak arm, ty det förefaller</w:t>
        <w:br/>
        <w:br/>
        <w:t>mig, som om det endast kunde ske på två sätt, ettdera genom en</w:t>
        <w:br/>
        <w:br/>
        <w:t>ändring i 15 kap. 3$ rättegångsbalken eller också genom ett</w:t>
        <w:br/>
        <w:br/>
        <w:t>tillägg till samma lagrum. Man kan göra denna ändring så, att</w:t>
        <w:br/>
        <w:br/>
        <w:t>man där det nu heter i lagen, att den icke må föra annans</w:t>
        <w:br/>
        <w:br/>
        <w:t>talan, som själv under målsman står, i stället för »som själv un-</w:t>
        <w:br/>
        <w:br/>
        <w:t>under målsman står» helt enkelt sätter »som är omyndig». Men</w:t>
        <w:br/>
        <w:br/>
        <w:t>då inträffar den antagligen för rätt många stora svårigheten,</w:t>
        <w:br/>
        <w:br/>
        <w:t>att även s. k. fattighjon skulle få rätt att föra annans talan</w:t>
        <w:br/>
        <w:br/>
        <w:t>inför rätta. Det vill man kanske icke. Man kan vidare i samma</w:t>
        <w:br/>
        <w:br/>
        <w:t>son eller måg, broder eller svåger i rätten domare sitter» in-</w:t>
        <w:br/>
        <w:br/>
        <w:t xml:space="preserve">flika en så lydande sats: »dock att gift </w:t>
      </w:r>
      <w:r>
        <w:rPr>
          <w:b/>
        </w:rPr>
        <w:t>kvinna¹</w:t>
      </w:r>
      <w:r>
        <w:rPr>
          <w:b w:val="0"/>
        </w:rPr>
        <w:t xml:space="preserve"> må utan hinden</w:t>
        <w:br/>
        <w:br/>
        <w:t xml:space="preserve">därav, att </w:t>
      </w:r>
      <w:r>
        <w:rPr>
          <w:b/>
        </w:rPr>
        <w:t>hon²</w:t>
      </w:r>
      <w:r>
        <w:rPr>
          <w:b w:val="0"/>
        </w:rPr>
        <w:t xml:space="preserve"> står under mannens målsmanskap, för andra</w:t>
        <w:br/>
        <w:br/>
        <w:t>tala eller svara.»</w:t>
        <w:br/>
        <w:br/>
        <w:t>Jag har emellertid ansett det lämpligare, att man gör förändringen genom ett tillägg till den av mig nämnda paragrafen, ett tillägg, som jag i min reservation framfört, och jag vädjar till lagutskottets jurister, som äro emot att man gör ändringen, att angiva vilka skäl de egentligen kunna anföra emot den av mig föreslagna ordalydelsen av denna lilla särskilda lag, som skulle komplettera 3 8 av 15 kap. rättegångsbalken. Kan det icke mot denna min formulering anföras några bärande skäl, tror jag det skulle vara på sin plats, att andra kammaren för att visa, att man vid sådana enkla tillfällen, när behovet det kräver, bör i stället för att gå den långa vägen runt Kungl. Maj:t, som ju för övrigt har mycket annat att göra, besluta de erforderliga lagändringarna utan vidare omgång. Risken torde icke vara stor, ty innan lagändringen stadfästes av Kungl. Maj:t, lär Kungl. Maj:t helt visst taga reda på, huruvida den är av den art, att den verkligen kan få passera. Man kommer således icke ut på farliga äventyrligheter, sådana som man råkade ut på vid antagandet av åkarpslagen, vilken, jag medgiver det, icke är att anföra såsom något smickrande exempel, men vilken dock stått sig under alla dessa år, och vari det icke lyckats att få någon ändring av de värsta felaktigheterna.</w:t>
        <w:br/>
        <w:br/>
        <w:t>Jag tillåter mig yrka bifall till min reservation, så att riksdagens andra kammare beslutar en lagändring direkt.</w:t>
        <w:br/>
        <w:br/>
        <w:t>Jag vet väl, att första kammaren fattat beslut om bifall till utskottets förslag, och jag misstänker, att det kommer att invändas, att därest andra kammaren nu tager en lagändring direkt, under det att första kammaren tagit utskottets förslag om skrivelse, det hela skulle förfalla, men det är inte alls säkert, ty det lär väl vara fritt för utskottet att vid sådant för-</w:t>
        <w:br/>
        <w:br/>
        <w:t>hållande upptaga frågan till ny behandling, och jag tror icke, att det möter svårigheter för utskottet att, därest det vill, föreslå en hemställan till första kammaren att bifalla andra kammarens beslut. Omöjligt är det inte, om god vilja finns, och det värsta, som kan hända, sedan saken är prövad, är, att utskottet hemställer till andra kammaren att bifalla första kammarens beslut. Jag anser icke, att man för en sådan liten sak behöver sätta igång en så stor apparat som att skriva till Kungl. Maj:t, och jag yrkar därför bifall till reservationen.</w:t>
      </w:r>
    </w:p>
    <w:p>
      <w:pPr>
        <w:pStyle w:val="Heading2"/>
      </w:pPr>
      <w:r>
        <w:t>3. Gustaf Albert Petersson (Lantmanna- och borgarepartiet inom andrakammaren, man)</w:t>
      </w:r>
    </w:p>
    <w:p>
      <w:r>
        <w:rPr>
          <w:b w:val="0"/>
        </w:rPr>
        <w:t>Herr talman, mina herrar! Det är ju så, att vi mom utskottet äro ganska ense i sak, och debatten rör sig nu endast om hur man skall bäst främja denna sak. Det leder ungefär till samma resultat och därtill mycket säkrare till samma resultat på ungefär samma tid, om man följer den väg utskottet föreslagit, som om man följer reservanterna.</w:t>
        <w:br/>
        <w:br/>
        <w:t xml:space="preserve">Vi äro ense om att det under nuvarande förhållanden är önskvärt, att gift </w:t>
      </w:r>
      <w:r>
        <w:rPr>
          <w:b/>
        </w:rPr>
        <w:t>kvinna¹</w:t>
      </w:r>
      <w:r>
        <w:rPr>
          <w:b w:val="0"/>
        </w:rPr>
        <w:t xml:space="preserve"> får rätt att föra andras talan inför domstol, såsom i motionen är föreslaget. När vi då vilja genomföra det, har utskottet valt den väg, som är den vanliga, som i de allra flesta fall anlitas, och som otvivelaktigt är den försiktigaste och för riksdagen mest lämpliga, nämligen att skriva till kungl. Maj:t och begära förslag till lagändring. Det hjälps inte, att en lagändring, hur liten och obetydlig den än kan se ut, i alla fall behöver undersökas med hänsyn till sina konsekvenser och med hänsyn till det sammanhang, den har med lagstiftningen i andra delar, en undersökning, som lagutskottet icke kan göra med samma visshet och säkerhet som Kungl. Maj:t. Utskottet har därför sagt, att utskottet funnit önskemålet lämpligast främjas genom en skrivelse i ämnet, och att då också bör tagas i övervägande, i vilken omfattning ifrågavarande rätt bör medgivas gift </w:t>
      </w:r>
      <w:r>
        <w:rPr>
          <w:b/>
        </w:rPr>
        <w:t>kvinna¹</w:t>
      </w:r>
      <w:r>
        <w:rPr>
          <w:b w:val="0"/>
        </w:rPr>
        <w:t xml:space="preserve"> och vilket lämpligaste sättet är att införa den i lagstiftningen. Jag vet verkligen ej, varför reservanterna icke skulle kunna vara med på detta.</w:t>
        <w:br/>
        <w:br/>
        <w:t>Herr Perssons tal om besparing i kostnad och arbete vill jag icke tillmäta någon betydelse, ty tryckningskostnaden på riksdagens tryckeri lär icke bli stor, och besväret för Kungl. Maj:t lär bli detsamma. Även om såsom herr Persson yrkar en formulerad ändring antages av riksdagen, så måste den underställas lagrådet, och detta har att undersöka saken på samma sätt som om Kungl. Maj:t framlagt förslag i ämnet. Men detta bör, såsom erfarenheten visat, hälst ske innan riksdagen fattat sitt beslut och ej efteråt. Det är otvivelaktigt lämpligast och säkrast att gå den väg, som utskottet anvisat.</w:t>
        <w:br/>
        <w:br/>
        <w:t>Herr Persson anförde som stöd för sitt yrkande en del exempel på fall, då riksdagen gått fram på egen hand, såsom</w:t>
        <w:br/>
        <w:br/>
        <w:t xml:space="preserve">herr Persson yrkar att nu skall ske. Men några av de exempel, 4ng. rätt för som han anförde, tyckas mig visa, att det varit mera lyckligt, gift </w:t>
      </w:r>
      <w:r>
        <w:rPr>
          <w:b/>
        </w:rPr>
        <w:t>kvinna¹</w:t>
      </w:r>
      <w:r>
        <w:rPr>
          <w:b w:val="0"/>
        </w:rPr>
        <w:t xml:space="preserve"> att om riksdagen icke gått den vägen. Ett exempel var kanske f?r4 gnmans icke rätt väl funnet. Han nämnde preventivlagen; såvitt (Forts.) jag icke minns fel, var det jag själv, som i egenskap av justitie- | minister framlade förslag till denna lag i en proposition till riksdagen. Om herr Persson studerar det lilla häfte, som här finns tillgängligt för oss, detta häfte med alla riksdagsmännens porträtt, skulle han finna, att vederbörande anfört bland mina meriter, att jag bland andra lagförslag genomdrev den s. k. preventivlagen. Inte vet jag, varför just detta skulle finnas vara så synnerligen utmärkande för min verksamhet, ty det får jag säga, att så skattar jag icke det lagförslaget. Men om herr Persson sett efter där, hade han kanske funnit, att hans exempel i den delen var litet förhastat.</w:t>
        <w:br/>
        <w:br/>
        <w:t>Nå, saken är i sig mycket obetydlig, men när nu första kammaren, som herr Persson själv säger, redan tagit utskottets förslag om en riksdagsskrivelse; när vi alla önska nå det mål som i den skrivelsen angives, och när detta säkrast främjas på det sätt, utskottet föreslagit, så vill jag verkligen hemställa till kammaren, om den icke finner sig böra gå den väg, som utskottet föreslår. Jag yrkar bifall till utskottets hemställan.</w:t>
      </w:r>
    </w:p>
    <w:p>
      <w:pPr>
        <w:pStyle w:val="Heading2"/>
      </w:pPr>
      <w:r>
        <w:t>4. unknown (–, –)</w:t>
      </w:r>
    </w:p>
    <w:p>
      <w:r>
        <w:rPr>
          <w:b w:val="0"/>
        </w:rPr>
        <w:t>Den föregående talaren sade, att man bör kunna ena sig om denna sak, då utskottet föreslagit en skrivelse till Kungl. Maj:t, och förebrådde mig, att jag icke ville nöja mig med den saken. Ja, men så hette det icke, bland annat då man vidtog ändringen med Åkarpslagen. Då hette det, att en lagändring verkligen var så starkt av behovet påkallad, att man måste antaga en lag, som sedan visat sig vara så genomdåligt gjord, att högsta domstolen fann sig föranlåten att avstyrka den och många jurister förklarade, att de omöjliger kunde våga sig på att skriva den.</w:t>
        <w:br/>
        <w:br/>
        <w:t>Och vad herr Peterssons försök att komma undan preventivlagen beträffar, ber jag herr Petersson studera lagutskottets betänkanden under de gångna åren, med tillhjälp av vilka en statistik uppgjorts — den är icke uppgjord av mig, utan av en annan ledamot i lagutskottet — av vilken herr Petersson kan få reda på, att åtskilliga lagändringar äro vidtagna utan att proposition därom avlåtits. Jag åsyftar dock icke den lagändring, justitieminister Petersson framlade på sin tid, utan en annan. Jag har velat framhålla detta.</w:t>
        <w:br/>
        <w:br/>
        <w:t>Det förefaller mig för övrigt som om saken är den, att det man vill göra en ändring i, det gör man, och om man vill göra en ändring av sådana lagar, som avse att klämma efter småfolk, arbetare och vederlikar, gör man den, men när man inte vill, skriver man till Kungl. Maj:t för att behändigast komma undan det, och man vill inte så gärna göra ändringar i lagar, som avse att hjälpa en del medborgare, som kunna vara i trångmål. Det är kanske rent omed-</w:t>
        <w:br/>
        <w:br/>
        <w:t xml:space="preserve">Ang. rätt för vetet detta, men det förefaller i allt fall ofta vara så, och det är te just det, jag tillåtit mig att påpeka just i detta sammanhang. talan. Jag ber vidare att få erinra därom, att man skall inte så bagatel- (Forts.) lisera besvären. Man säger, att tryckningskostnaderna bli obetydliga. Det är sant. Man säger, att Kungl. Maj:ts arbete blir ungefär detsamma, om Kungl. Maj:t skall göra en ny lag eller granska vad riksdagen antagit; det är också sant. Men därest Kungl. Maj:t skall uppgöra förslag till en lag, skola vi ha den in till riksdagen nästa år eller kanske året därpå i form av en kungl. proposition. Den skall gå till lagutskottet och där vederbörligen behandlas, återgå till kammaren och där vederbörligen behandlas, och sedan skall det skrivas till Kungl. Maj:t. Det är inte så förfärligt litet besvär, cch vidare har man inte någon absolut garanti för att Kungl. Maj:t verkligen framlägger någon lagändring, utan det kan hitta på att hända, att Kungl. Maj:t blir upptagen och inte gör någonting åt saken, och under tiden gå de gifta </w:t>
      </w:r>
      <w:r>
        <w:rPr>
          <w:b/>
        </w:rPr>
        <w:t>kvinnorna¹</w:t>
      </w:r>
      <w:r>
        <w:rPr>
          <w:b w:val="0"/>
        </w:rPr>
        <w:t>, som så väl behövde rätt att föra andras talan inför domstol, utan denna rätt, som lagutskottet velat ge dem. Jag har velat anföra dessa syrpunkter, emedan det förefaller mig, att man på sina håll velat motivera än si och än så utan klara principer. Jag vidhåller mitt yrkande.</w:t>
        <w:br/>
        <w:br/>
        <w:t>De i 5 $ omförmälda grunderna för beräkning av försäkringspremier och premiereserv för livförsäkring skola angiva den räntefot, det dödlighetsmått eller andra riskmått och de antagandes beträffande omkostnaderna, som skola läggas till grund för beräkningen.</w:t>
        <w:br/>
        <w:br/>
        <w:t>Räntefoten må icke väljas högre än som, med hänsyn till kända förhållanden, kan anses för framtiden betryggande. Dödlighetsmåttet må, i fråga om försäkringar för dödsfall, icke väljas lägre, och, i fråga om försäkringar för livsfall, icke högre än som på</w:t>
        <w:br/>
        <w:br/>
        <w:t>grund av tillgänglig erfarenhet beträffande den ifrågavarande arten av försäkringsrörelse kan anses betryggande. Omkostnaderna må icke antagas lägre än vad enligt tillgänglig erfarenhet från försäkringsrörelse av den ifrågavarande arten kan anses vara erforderligt för sådan rörelse.</w:t>
        <w:br/>
        <w:br/>
        <w:t>Grunderna för premiereservens beräkning skola vara så avfattade, att premiereserven för varje särskild försäkring framkommer såsom det belopp, varmed kapitalvärdet av bolagets beräknade framtida utgifter för försäkringen må överskjuta kapitalvärdet av härefter omförmälda reservpremier, vilka ingå i de försäkringspremier, bolaget enligt försäkringsavtalet må hava att ytterligare uppbära. Reservpremie beräknas så, att vid försäkringsavtalets ingående kapitalvärdet av alla reservpremier är lika med kapitalvärdet av bolagets alla beräknade utgifter för försäkringens anskaffande och förvaltning och för försäkringsförbindelsens fullgörande, dock med den inskränkningen att anskaffningskostnaden icke må vid denna beräkning antagas högre än som motsvarar vid försäkring för dödsfall åtta procent och vid försäkring för livsfall fyra procent av kapitalvärdet av bolagets beräknade utgifter för försäkringsförbindelsens fullgörande samt vid kapitalförsäkring ej heller högre än två och en halv procent av försäkringssumman.</w:t>
        <w:br/>
        <w:br/>
        <w:t>Innan organisationskostnaderna fullständigt avskrivits, må ej för något år till aktieägare och försäkringstagare utdelas sammanlagt mera än fem procent å det inbetalda aktiekapitalet.</w:t>
        <w:br/>
        <w:br/>
        <w:t>Innan organisationskostnaderna fullständigt avskrivits, må icke för något år till garanter och delägare utdelas sammanlagt mera än</w:t>
        <w:br/>
        <w:br/>
        <w:t>Kostnad, som under loppet av ett räkenskapsår använts till anskaffande af nya livförsäkringar, må i balansräkningen uppföras såsom tillgång, dock icke till högre belopp än en och halv procent av summan av de under året anskaffade och på bolagets eget ansvar bibehållna, i kraft varande livförsäkringar, livränteförsäkringar oräknade. Har anskaffningskostnad för något år sålunda uppförts såsom tillgång, skall den avskrivas med minst en femtedel för varje år.</w:t>
        <w:br/>
        <w:br/>
        <w:t>Kostnad, som under loppet av ett räkenskapsår använts till anskaffande av nya livförsäkringar, må i balansräkningen uppföras såsom tillgång, dock icke till högre belopp än en och en halv procent av summan av de under året anskaffade och på bolagets eget ansvar bibehållna, i kraft varande livförsäkringar, livränteförsäkringar oräknade. Har anskaffningskostnad för något år sålunda uppförts såsom tillgång, skall den avskrivas med minst en femtedel för varje år.</w:t>
        <w:br/>
        <w:br/>
        <w:t>Innan organisationsoch anskaffningskostnader fullständigt avskrivits, må icke för något år till garanter och delägare utdelas sammanlagt mera än fem procent å inbetalt garantikapital till den del detta icke må hava blivit till garanterna återbetalt.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