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1306</w:t>
      </w:r>
    </w:p>
    <w:p>
      <w:r>
        <w:rPr>
          <w:b/>
        </w:rPr>
        <w:t xml:space="preserve">Datum: </w:t>
      </w:r>
      <w:r>
        <w:t>1915-05-03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Hellberg (Liberala samlingspartiet, man)</w:t>
      </w:r>
    </w:p>
    <w:p>
      <w:r>
        <w:rPr>
          <w:b w:val="0"/>
        </w:rPr>
        <w:t>Jag ber om ursäkt för att jag ännu en gång besvärar kammaren.</w:t>
        <w:br/>
        <w:br/>
        <w:t xml:space="preserve">Vid behandlingen av denna paragraf framställer sig osökt, åtminstone hos mig, en undran, huruvida samarbetet med de danska och norska kommitterade varit så i allo förmånligt. Jag undrar, om icke förslaget i somliga hänseenden lidit därigenom att man tagit för mycket hänsyn till de nämnda ländernas lagar och förslag, varigenom gammal god svensk rättsåskådning och rättsuppfattning fått så att säga </w:t>
      </w:r>
      <w:r>
        <w:rPr>
          <w:b/>
        </w:rPr>
        <w:t>maka³</w:t>
      </w:r>
      <w:r>
        <w:rPr>
          <w:b w:val="0"/>
        </w:rPr>
        <w:t xml:space="preserve"> åt sig.</w:t>
        <w:br/>
        <w:br/>
        <w:t>I denna paragraf är det fråga om ett släktskapshinder, som förut varit ovillkorligt, men från vilket nu skulle kunna givas dispens. Förslaget stadgar nämligen, att äktenskap mellan ett syskon och det andras avkomling ej må ingås utan Konungens tillstånd. Att dispens kan meddelas, visserligen, som det heter, blott</w:t>
        <w:br/>
        <w:br/>
        <w:t xml:space="preserve">under viss närmare angiven förutsättning, kan ju vara gott och väl, men enligt min uppfattning överensstämma sådana äktenskap knappast med den allmänna rättsuppfattningen i vårt land, vartill kommer, att den rashygieniska vetenskapen näppeligen kan känna sig fullt tillfreds därmed. Från medicinskt håll har nämligen framhållits och betonats, att intet grundat skäl finnes att frångå hittills hos oss gällande lagbestämmelser angående skyldskap som äktenskapshinder. För kringgående av gällande svensk lag har det förut tillgått på det sättet här i landet, att kontrahenterna rest till Danmark eller Norge, där förskaffat sig medborgarrätt och så låtit viga sig, varefter de sedan fått sina giftermål giltiga även här i landet. Nu slippa de genom denna paragraf dessa besvär, denna omgång och denna kostnad. Men vad säger man om dessa äktenskap i Danmark? Jag vill erinra om, att danska och norska medicinska auktoriteter hava framhållit önskvärdheten av att äktenskap med broders eller </w:t>
      </w:r>
      <w:r>
        <w:rPr>
          <w:b/>
        </w:rPr>
        <w:t>systers²</w:t>
      </w:r>
      <w:r>
        <w:rPr>
          <w:b w:val="0"/>
        </w:rPr>
        <w:t xml:space="preserve"> </w:t>
      </w:r>
      <w:r>
        <w:rPr>
          <w:b/>
        </w:rPr>
        <w:t>dotter²</w:t>
      </w:r>
      <w:r>
        <w:rPr>
          <w:b w:val="0"/>
        </w:rPr>
        <w:t xml:space="preserve"> borde förbjudas.</w:t>
        <w:br/>
        <w:br/>
        <w:t>Nu finnes här visserligen en reservation från förstakammarhåll vid denna paragraf, men då utskottet nu för övrigt enhälligt tagit denna paragraf, få vi väl antaga, att Kungl. Maj:t skall låta pröva de särskilda omständigheterna i varje fall och rensa bort olämpliga fall. Till sådana fall, som då skulle kunna tillåtas, höra givetvis de, där bägge kontrahenterna kunna anses fria ifrån ärftliga sjukdomsanlag även uti ringa grad, och på detta sätt får man väl åtminstone hoppas, att bestämmelsen skall bli, om icke fullt, så dock något så när betryggande.</w:t>
        <w:br/>
        <w:br/>
        <w:t>Då jag icke tror, herr talman, att jag med ett yrkande om bifall till den vid paragrafen fogade reservationen kan vinna någontig, vill jag i alla fall icke göra något yrkande.</w:t>
      </w:r>
    </w:p>
    <w:p>
      <w:pPr>
        <w:pStyle w:val="Heading2"/>
      </w:pPr>
      <w:r>
        <w:t>2. Anders Gustafsson (Lantmanna- och borgarepartiet inom andrakammaren, man)</w:t>
      </w:r>
    </w:p>
    <w:p>
      <w:r>
        <w:rPr>
          <w:b w:val="0"/>
        </w:rPr>
        <w:t>Herr talman! Vid detta kapitel har jag instämt uti en av herr af Ekenstam i första kammaren avgiven reservation. Ya RNA</w:t>
        <w:br/>
        <w:br/>
        <w:t xml:space="preserve">I denna reservation föreslås en ny paragraf. Anledningen till att vi gjort detta förslag, är den, att om trolovning är ingången mellan man och </w:t>
      </w:r>
      <w:r>
        <w:rPr>
          <w:b/>
        </w:rPr>
        <w:t>kvinna¹</w:t>
      </w:r>
      <w:r>
        <w:rPr>
          <w:b w:val="0"/>
        </w:rPr>
        <w:t xml:space="preserve">, </w:t>
      </w:r>
      <w:r>
        <w:rPr>
          <w:b/>
        </w:rPr>
        <w:t>kvinnan¹</w:t>
      </w:r>
      <w:r>
        <w:rPr>
          <w:b w:val="0"/>
        </w:rPr>
        <w:t xml:space="preserve"> sedan blivit hävdad under trolovningen och mannen blivit dömd lämna skadestånd, vi mena, att han icke bör egentligen äga rätt att ingå nytt äktenskap, förrän han gjort rätt för sig. Vi ha menat, att han skall uppgöra sina ekonomiska förpliktelser mot den </w:t>
      </w:r>
      <w:r>
        <w:rPr>
          <w:b/>
        </w:rPr>
        <w:t>kvinna¹</w:t>
      </w:r>
      <w:r>
        <w:rPr>
          <w:b w:val="0"/>
        </w:rPr>
        <w:t>, han varit trolovad med, innan han ingår giftermål med en annan. Vi ha därför föreslagit en 8 12 av följande lydelse:</w:t>
        <w:br/>
        <w:br/>
        <w:t>»År mannen dömd till skadestånd jämlikt 1 kap. 3$ första stycket eller är stämning i sådant mål honom delgiven, må han ej utan Konungens tillstånd ingå äktenskap med någon annan innan skadeståndet blivit guldet eller antaglig säkerhet därför ställd ock talan om skadestånd genom laga kraftvunnen dom ogilats.&gt;</w:t>
        <w:br/>
        <w:br/>
        <w:t>Jag ber att få yrka bifall till denna nya paragraf.</w:t>
      </w:r>
    </w:p>
    <w:p>
      <w:pPr>
        <w:pStyle w:val="Heading2"/>
      </w:pPr>
      <w:r>
        <w:t>3. Jakob Pettersson (Liberala riksdagspartiet, man)</w:t>
      </w:r>
    </w:p>
    <w:p>
      <w:r>
        <w:rPr>
          <w:b w:val="0"/>
        </w:rPr>
        <w:t xml:space="preserve">Jag tror, mina herrar, att det vore högst olyckligt, om kammaren skulle bifalla det förslag, som blivit framställt av den siste talaren. Jag fäster mig därvid icke huvudsakligen vid den föreslagna lagtextens formu ering, ehuru den är ganska besynnerlig. Det heter i densamma, att mannen ej må i detta fall »utan Konungens tillstånd ingå äktenskap med någon annan», utan att det talats om den kontrahent, som han varit förlovad med förut; uttrycket »annan&gt; verkar därför ganska förbryllande. Denna lagtext måste väl i alla händelser skrivas om, då det förefaller mig, som om den icke vore användbar. Men detta betyder mindre. VWVärre är en saklig och principiell anmärkning, som kan göras mot förslaget. Meningen är, att om en person är skyldig att betala sin före detta trolovade skadestånd, så skulle han icke få ingå nytt äktenskap, förr än skulden till den förutvarande trolovade blivit gulden eller ordnad på något sätt. Detta låter ju i och för sig ganska antagligt. Men enligt andra bestämmelser i det föreliggande lagförslaget skulle det kunna hända, att en person, som skall ingå nytt gifte, sedan han förut varit gift, har ekonomiska förbindelser till </w:t>
      </w:r>
      <w:r>
        <w:rPr>
          <w:b/>
        </w:rPr>
        <w:t>hustrun²</w:t>
      </w:r>
      <w:r>
        <w:rPr>
          <w:b w:val="0"/>
        </w:rPr>
        <w:t xml:space="preserve"> i det förra äktenskapet. Det förra äktenskapet kan nämligen ha blivit upplöst genom skilsmässa, och domstol kan hava förordnat, att mannen skall betala skadestånd eller underhåll till sin förra </w:t>
      </w:r>
      <w:r>
        <w:rPr>
          <w:b/>
        </w:rPr>
        <w:t>hustru²</w:t>
      </w:r>
      <w:r>
        <w:rPr>
          <w:b w:val="0"/>
        </w:rPr>
        <w:t xml:space="preserve">. Det kan således finnas ouppgjorda ekonomiska förbindelser på grund av det förutvarande äktenskapet. Om nu det av herr Gustafsson i Örebro framställda förslaget bleve antaget, så skulle mannen av dessa förbindelser till sin förutvarande </w:t>
      </w:r>
      <w:r>
        <w:rPr>
          <w:b/>
        </w:rPr>
        <w:t>hustru²</w:t>
      </w:r>
      <w:r>
        <w:rPr>
          <w:b w:val="0"/>
        </w:rPr>
        <w:t xml:space="preserve"> icke vara förhindrad att ingå nytt äktenskap, men hans eventuella ekonomiska förpliktelser till förutvarande fästmö skulle för honom utgöra äktenskapshinder. Nog skulle det väl vara rosenrasande att lagstifta på det viset.</w:t>
        <w:br/>
        <w:br/>
        <w:t>Jag yrkar, herr talman, bifall till utskottets förslag.</w:t>
        <w:br/>
        <w:br/>
        <w:t>Trolovad skall ock avgiva skriftlig försäkran på heder och samvete att han, så vitt honom är veterligt, icke lider av könssjukdom i smittosamt skede.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1306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