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1308</w:t>
      </w:r>
    </w:p>
    <w:p>
      <w:r>
        <w:rPr>
          <w:b/>
        </w:rPr>
        <w:t xml:space="preserve">Datum: </w:t>
      </w:r>
      <w:r>
        <w:t>1915-05-03</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I denna paragraf komma vi till frågan om de ofullkomnade äktenskapen. Det finnes nog många, som tycka, 'att det är ganska sayap tiskt att hålla på ett rättsinstitut, som redan genom själva namnet angiver, att det är något ofullkomligt, såsom ju de ofullkomnade äktenskapen äro. Jag antager också, att det är många, som mena, att Kungl. Maj:t och utskottet förfarit alldeles riktigt, då de föreslagit, att denna institution skall alldeles avskaffas. !</w:t>
        <w:br/>
        <w:br/>
        <w:t>Bakom denna mening finner man ofta följande resonemang. De människopar, som vilja ingå en äktenskaplig förening, böra rätta sig efter samhällets lagar; vilja de icke göra det, så må de låta bli, men då få de också finna sig i att bli stående utanför lagen; samhället har ingen anledning att lägga hyende under lasten eller att förgylla deras förbindelse, som egentligen</w:t>
        <w:br/>
        <w:br/>
        <w:t>är ett konkubinat, och kalla det för äktenskap samt knyta rättsverkningar därtill. Jag tror icke, att det är ovanligt att få höra ett sådant resonemang.</w:t>
        <w:br/>
        <w:br/>
        <w:t xml:space="preserve">Emellertid är det nu en gång så, att de mänskliga förhållandena och särskilt förbindelserna emellan man och </w:t>
      </w:r>
      <w:r>
        <w:rPr>
          <w:b/>
        </w:rPr>
        <w:t>kvinna¹</w:t>
      </w:r>
      <w:r>
        <w:rPr>
          <w:b w:val="0"/>
        </w:rPr>
        <w:t xml:space="preserve"> icke äro av blott två slag, nämligen å ena sidan de justa, regelrätta och mönstergilla förhållandena och å andra sidan de bristfälliga, brottsliga och fula förhållandena. Det finns nämligen även mellanformer; det finnes förbindelser, som visserligen icke kunna anses såsom mönsterförhållanden enligt lagens mening, men som å andra sidan icke heller äro alltigenom fula och ovärdiga. Det kan särskilt finnas förhållanden, i vilka </w:t>
      </w:r>
      <w:r>
        <w:rPr>
          <w:b/>
        </w:rPr>
        <w:t>kvinnan¹</w:t>
      </w:r>
      <w:r>
        <w:rPr>
          <w:b w:val="0"/>
        </w:rPr>
        <w:t xml:space="preserve"> såsom den mera oerfarna blivit jämförelsevis oskyldigt indragen och vilka det därför icke är rätt av lagstiftningen att utan vidare utdöma såsom förkastliga och odugliga att grunda rättigheter. Det är så mycket mindre skäl för vår tids lagstiftning att här gå fram förtrampande och förstörande som den äldre lagstiftningen i detta avseende visat sig synnerligen hänsynsfull. Den äldre lagstiftningen har med mycken omsorg uppmärksammat och, i den mån det låtit sig göra, fästa rättsverkningar vid dylika ofullkomliga äktenskapliga förbindelser. Därmed har man menat sådana, som visserligen från början syftat till att bliva kristligt äkta förbund, men som av en eller annan anledning icke hunnit fram till detta slutmål, merendels på den grund att den manliga parten av trolöshet eller flyktighet icke velat fullborda förbindelsen. Lagen har sålunda tillerkänt dylika ofullkomnade äktenskap vissa rättsverkningar: </w:t>
      </w:r>
      <w:r>
        <w:rPr>
          <w:b/>
        </w:rPr>
        <w:t>kvinnan¹</w:t>
      </w:r>
      <w:r>
        <w:rPr>
          <w:b w:val="0"/>
        </w:rPr>
        <w:t xml:space="preserve"> tillerkännes äkta </w:t>
      </w:r>
      <w:r>
        <w:rPr>
          <w:b/>
        </w:rPr>
        <w:t>hustrus²</w:t>
      </w:r>
      <w:r>
        <w:rPr>
          <w:b w:val="0"/>
        </w:rPr>
        <w:t xml:space="preserve"> rätt, </w:t>
      </w:r>
      <w:r>
        <w:rPr>
          <w:b/>
        </w:rPr>
        <w:t>hon²</w:t>
      </w:r>
      <w:r>
        <w:rPr>
          <w:b w:val="0"/>
        </w:rPr>
        <w:t xml:space="preserve"> får bära mannens namn och får under viss förutsättning giftorätt i boet; mannen kan icke ingå nytt äktenskap, utan att den äldre förbindelsen blivit i laga ordning upplöst; och sist, men icke minst, barnen bliva äkta barn. t</w:t>
        <w:br/>
        <w:br/>
        <w:t xml:space="preserve">Uppenbarligen har lagen handlat så i första rummet av hänsyn till </w:t>
      </w:r>
      <w:r>
        <w:rPr>
          <w:b/>
        </w:rPr>
        <w:t>kvinnan¹</w:t>
      </w:r>
      <w:r>
        <w:rPr>
          <w:b w:val="0"/>
        </w:rPr>
        <w:t xml:space="preserve">. Det är givetvis för en av sin trolovade övergiven </w:t>
      </w:r>
      <w:r>
        <w:rPr>
          <w:b/>
        </w:rPr>
        <w:t>kvinna¹</w:t>
      </w:r>
      <w:r>
        <w:rPr>
          <w:b w:val="0"/>
        </w:rPr>
        <w:t xml:space="preserve"> en bitter olycka att nödgas föda barn som ogift, ensam och övergiven, och det är icke nog därmed, utan detta innebär också för </w:t>
      </w:r>
      <w:r>
        <w:rPr>
          <w:b/>
        </w:rPr>
        <w:t>henne²</w:t>
      </w:r>
      <w:r>
        <w:rPr>
          <w:b w:val="0"/>
        </w:rPr>
        <w:t xml:space="preserve"> en social vanära, som för många </w:t>
      </w:r>
      <w:r>
        <w:rPr>
          <w:b/>
        </w:rPr>
        <w:t>kvinnor¹</w:t>
      </w:r>
      <w:r>
        <w:rPr>
          <w:b w:val="0"/>
        </w:rPr>
        <w:t xml:space="preserve"> kännes så brännande, att de för att undgå densamma söka döden för sig och barnet. Uppenbart är, att denna olycka och denna vanära i någon mån mildras, om </w:t>
      </w:r>
      <w:r>
        <w:rPr>
          <w:b/>
        </w:rPr>
        <w:t>kvinnan¹</w:t>
      </w:r>
      <w:r>
        <w:rPr>
          <w:b w:val="0"/>
        </w:rPr>
        <w:t xml:space="preserve"> genom lagen får möjlighet att vinna en </w:t>
      </w:r>
      <w:r>
        <w:rPr>
          <w:b/>
        </w:rPr>
        <w:t>hustrus²</w:t>
      </w:r>
      <w:r>
        <w:rPr>
          <w:b w:val="0"/>
        </w:rPr>
        <w:t xml:space="preserve"> ställning i samhället, låt vara KA denna ställning icke är förenad med alla en </w:t>
      </w:r>
      <w:r>
        <w:rPr>
          <w:b/>
        </w:rPr>
        <w:t>hustrus²</w:t>
      </w:r>
      <w:r>
        <w:rPr>
          <w:b w:val="0"/>
        </w:rPr>
        <w:t xml:space="preserve"> rättig-</w:t>
        <w:br/>
        <w:br/>
        <w:t>»Men det där är ju bara ett sken», säger man. Må vara, men det är icke ett tomt sken, det är ett sken, som i alla fall er ett visst försonande skimmer över en olycklig tillvaro.</w:t>
        <w:br/>
        <w:br/>
        <w:t xml:space="preserve">Jet är dock så, att den </w:t>
      </w:r>
      <w:r>
        <w:rPr>
          <w:b/>
        </w:rPr>
        <w:t>kvinna¹</w:t>
      </w:r>
      <w:r>
        <w:rPr>
          <w:b w:val="0"/>
        </w:rPr>
        <w:t xml:space="preserve">, som på detta sätt förklaras såsom mannens </w:t>
      </w:r>
      <w:r>
        <w:rPr>
          <w:b/>
        </w:rPr>
        <w:t>hustru²</w:t>
      </w:r>
      <w:r>
        <w:rPr>
          <w:b w:val="0"/>
        </w:rPr>
        <w:t xml:space="preserve">, har rätt att i officiella handlingar, i alla frejdebetyg, som </w:t>
      </w:r>
      <w:r>
        <w:rPr>
          <w:b/>
        </w:rPr>
        <w:t>hon²</w:t>
      </w:r>
      <w:r>
        <w:rPr>
          <w:b w:val="0"/>
        </w:rPr>
        <w:t xml:space="preserve"> för olika ändamål förskaffar sig, benämnas</w:t>
        <w:br/>
        <w:br/>
        <w:t>med den hedersamma frutiteln, den kan ibland betyda ganska mycket.</w:t>
        <w:br/>
        <w:br/>
        <w:t>Sannolikt har lagstiftningen hos oss tillerkänt de ofullkomnade äktenskapen rättsverkningar även i syfte att gagna barnen. Det är riktigt som det heter i motiven till ett av de förslag, som föregingo antagandet av '1734 års lag: »Då modrens villkor bättras, då bättras ock barnets.» Det kan ock vara skäl att påminna om vad 'som om denna sak yttrades av en av vår odlings stormän under förra hälften av 1800-talet, nämligen Jan Gabriel Richert, som var ledamot av såväl lagkom-</w:t>
        <w:br/>
        <w:br/>
        <w:t>-mittén som den äldre lagberedningen och som deltog i utar-</w:t>
        <w:br/>
        <w:br/>
        <w:t xml:space="preserve">betandet av deras förslag till civillag. Då 'han hade att försvara förslaget, att </w:t>
      </w:r>
      <w:r>
        <w:rPr>
          <w:b/>
        </w:rPr>
        <w:t>kvinna¹</w:t>
      </w:r>
      <w:r>
        <w:rPr>
          <w:b w:val="0"/>
        </w:rPr>
        <w:t xml:space="preserve">, som under trolovning blivit lägrad av mannen, skulle, då mannen bröt trolovningen, förklaras för äkta </w:t>
      </w:r>
      <w:r>
        <w:rPr>
          <w:b/>
        </w:rPr>
        <w:t>hustru²</w:t>
      </w:r>
      <w:r>
        <w:rPr>
          <w:b w:val="0"/>
        </w:rPr>
        <w:t xml:space="preserve">, yttrade han bland annat: »Då lagen åt barn, sammanavlat av fästehjon, ger namn och rätt av äkta barn, lär det ej heller böra anses för en besynnerlighet, utan för en klar följd av en sådan lag, att den åt barnets </w:t>
      </w:r>
      <w:r>
        <w:rPr>
          <w:b/>
        </w:rPr>
        <w:t>moder²</w:t>
      </w:r>
      <w:r>
        <w:rPr>
          <w:b w:val="0"/>
        </w:rPr>
        <w:t xml:space="preserve"> ger namn och heder av äkta </w:t>
      </w:r>
      <w:r>
        <w:rPr>
          <w:b/>
        </w:rPr>
        <w:t>hustru²</w:t>
      </w:r>
      <w:r>
        <w:rPr>
          <w:b w:val="0"/>
        </w:rPr>
        <w:t xml:space="preserve">.» Nu är det så, att det även enligt det i dag föreliggande förslaget är meningen, att barn, avlat i trolovning, ävensom barn, vars föräldrar efter avlelsen ingå trolovning med varandra, skall vara äkta ' barn. Med samma rätt som Richert år 1847 gjorde det uttalande jag nyss nämnde, kan man därför i dag göra det uttalandet, att det är en klar följd av lagförslaget, att då barn får äkta barns rätt, skall barnets </w:t>
      </w:r>
      <w:r>
        <w:rPr>
          <w:b/>
        </w:rPr>
        <w:t>moder²</w:t>
      </w:r>
      <w:r>
        <w:rPr>
          <w:b w:val="0"/>
        </w:rPr>
        <w:t xml:space="preserve"> få äkta </w:t>
      </w:r>
      <w:r>
        <w:rPr>
          <w:b/>
        </w:rPr>
        <w:t>hustrus²</w:t>
      </w:r>
      <w:r>
        <w:rPr>
          <w:b w:val="0"/>
        </w:rPr>
        <w:t xml:space="preserve"> rätt. .</w:t>
        <w:br/>
        <w:br/>
        <w:t xml:space="preserve">Ylutligen vågar jag hålla före, att lagstiftningen haft till syfte beträffande bestämmelserna om de ofullkomnade äktenskapen att i någon mån verka såsom en tygel på mannens trolöshet och lättsinne. Det förefaller ganska sannolikt, att den, som vet med sig, att, om han överger sin </w:t>
      </w:r>
      <w:r>
        <w:rPr>
          <w:b/>
        </w:rPr>
        <w:t>fästekvinna³</w:t>
      </w:r>
      <w:r>
        <w:rPr>
          <w:b w:val="0"/>
        </w:rPr>
        <w:t xml:space="preserve">, som han hävdat, eller en </w:t>
      </w:r>
      <w:r>
        <w:rPr>
          <w:b/>
        </w:rPr>
        <w:t>kvinna¹</w:t>
      </w:r>
      <w:r>
        <w:rPr>
          <w:b w:val="0"/>
        </w:rPr>
        <w:t xml:space="preserve">, som han hävdat under äktenskapslöfte, så kan den </w:t>
      </w:r>
      <w:r>
        <w:rPr>
          <w:b/>
        </w:rPr>
        <w:t>kvinnan¹</w:t>
      </w:r>
      <w:r>
        <w:rPr>
          <w:b w:val="0"/>
        </w:rPr>
        <w:t xml:space="preserve"> lägga in veto mot ett annat, av honom tilltänkt äktenskap, han har häri en kraftig anledning att tänka sig för och att ålägga sig en viss återhållsamhet och försiktighet i sitt förhållande till det andra könet. Slutligen kan det verka uppfostrande, att lagen tillerkänner giltighet åt avtal och löften, även när sådana avtal ingås under dylika förhållanden.</w:t>
        <w:br/>
        <w:br/>
        <w:t xml:space="preserve">I alla de avseenden, jag nu nämnt, synes mig förslaget om skadeståndsrätt såsom full ersättning för de 'ofullkomnade äktenskapen icke vara tillräckligt. Först och främst är det klart, att skadeståndsrätten icke lämnar </w:t>
      </w:r>
      <w:r>
        <w:rPr>
          <w:b/>
        </w:rPr>
        <w:t>kvinnan¹</w:t>
      </w:r>
      <w:r>
        <w:rPr>
          <w:b w:val="0"/>
        </w:rPr>
        <w:t xml:space="preserve"> den ideella ersättning, den upprättelse i andra människors ögon, som förvärvandet av ställningen såsom gift </w:t>
      </w:r>
      <w:r>
        <w:rPr>
          <w:b/>
        </w:rPr>
        <w:t>kvinna¹</w:t>
      </w:r>
      <w:r>
        <w:rPr>
          <w:b w:val="0"/>
        </w:rPr>
        <w:t xml:space="preserve"> medför. Och om det icke medför detta, följer därav, att även barnet blir lidande. Vad slutligen beträffar skadeståndspliktens förmåga att verka återhållande på mannens lättsinne och trolöshet, så tror jag, att den skulle visa sig mycket ringa. Snarare skulle bestämmelserna därom komma att befästa den nu icke ovanliga uppfattningen,</w:t>
        <w:br/>
        <w:br/>
        <w:t>att betalningen av en större eller mindre penningsumma är det Ang. lag om enklaste sättet att under dylika otrevliga situationer »komma pr edenpE ifrån hela klabbet». s bpplösning</w:t>
        <w:br/>
        <w:br/>
        <w:t xml:space="preserve">Nu har man till motiverande av förslaget att utesluta de ”m m. ofullkomnade äktenskapen sagt, att dessa äro äktenskap endast (Forts.) till namnet och icke förenade med äktenskaplig sammanlevnad, att de äro för folket främmande och att det icke har någon praktisk betydelse, att de omnämnas i lagen. Mot dylika uttalanden vet jag, att man kan 'åberopa vittnesbörd från olika landsändar, där det icke är ovanligt, att trolovade par, i vissa fall efter tre lysningar, leva såsom 'man och </w:t>
      </w:r>
      <w:r>
        <w:rPr>
          <w:b/>
        </w:rPr>
        <w:t>hustru²</w:t>
      </w:r>
      <w:r>
        <w:rPr>
          <w:b w:val="0"/>
        </w:rPr>
        <w:t xml:space="preserve">, anse sig såsom gifta och anse sig skyldiga varandra trohet. Att en sådan upplattning på vissa håll fortlever, torde nog i viss mån bero på det lagbud, som säger, att hävdar man sin </w:t>
      </w:r>
      <w:r>
        <w:rPr>
          <w:b/>
        </w:rPr>
        <w:t>fästekvinna³</w:t>
      </w:r>
      <w:r>
        <w:rPr>
          <w:b w:val="0"/>
        </w:rPr>
        <w:t>, då är det ett äktenskap o. s. v.. Nu föreslås, att alla dessa bestämmelser skulle avskaffas; dylika förhållanden skulle för framtiden bliva rätt och slätt konkubinat. Då det i våra dagar talas om den sedliga andan hos vårt folk och att den icke är sådan den bör vara, vill jag fråga: tror man verkligen, att antagandet av förslaget om de ofullkomnade äktenskapens radikala avskaffande skulle vara ägnat att stärka trohetsplikten hos vårt folk i allmänhet, tror man, att det skulle skärpa menige mans ansvarskänsla och hedersbegrepp, tror man, att det skulle förbättra den sedliga andan hos vårt folk? Jag vågar på goda grunder betvivla, att så skulle ske, och jag tror det är önskvärt, att riksdagen betänker sig, innan den alldeles utmönstrar denna urgamla institution. :</w:t>
        <w:br/>
        <w:br/>
        <w:t>I sådant syfte kommer jag i överensstämmelse med den av mig och fyra andra ledamöter av kammaren vid punkt C) avgivna reservationen att föreslå en skrivelse till Kungl. Maj:t med begäran om utredning i detta avseende och framläggandet av ett förslag. Det är nämligen så, att lagberedningen är sysselsatt med utarbetandet av förslag rörande den rättsställning, som bör tillkomma barn, födda utom äktenskap i allmänhet, och det torde vara lämpligt att i sammanhang därmed taga i skärskådande även den fråga, om vilken jag här talat. Om skrivelseförslaget antages, är det icke skäl, att riksdagen nu avskaffar alla bestämmelser om ofullkomnade äktenskap, och därför ha vi tillåtit oss att vid den nu föredragna paragraten avgiva en reservation, vari vi föreslagit, att den äldre lagens bestämmelser må gälla tre år längre än utskottet föreslagit. Herr talman, jag ber få yrka bifall till denna reservation.</w:t>
        <w:br/>
        <w:br/>
        <w:t>Vad sålunda är stadgat skall tillämpas även med avseende å äktenskap, som består då nya lagen träder i kraft men kan dömas att återgå på grund av hinder, som nyss är sagt.</w:t>
        <w:br/>
        <w:br/>
        <w:t xml:space="preserve">2. Avlar man barn med sin trolovade eller i lönskaläge, därå sedan trolovning följer; upplöses trolovningen genom mannens död och är </w:t>
      </w:r>
      <w:r>
        <w:rPr>
          <w:b/>
        </w:rPr>
        <w:t>kvinnan¹</w:t>
      </w:r>
      <w:r>
        <w:rPr>
          <w:b w:val="0"/>
        </w:rPr>
        <w:t xml:space="preserve"> i behov av underhåll, njute </w:t>
      </w:r>
      <w:r>
        <w:rPr>
          <w:b/>
        </w:rPr>
        <w:t>hon²</w:t>
      </w:r>
      <w:r>
        <w:rPr>
          <w:b w:val="0"/>
        </w:rPr>
        <w:t xml:space="preserve">, där </w:t>
      </w:r>
      <w:r>
        <w:rPr>
          <w:b/>
        </w:rPr>
        <w:t>hon²</w:t>
      </w:r>
      <w:r>
        <w:rPr>
          <w:b w:val="0"/>
        </w:rPr>
        <w:t xml:space="preserve"> inom sex månader efter dödsfallet framställer sitt anspråk hos den som i boet sitter eller hos rätten eller domaren, skälig andel av hans kvarlåtenskap, dock ej utöver hälften därav.</w:t>
        <w:br/>
        <w:br/>
        <w:t>Herr Petersson i Lidingö villastad: Herr talman! Jag skulle icke hava besvärat kammaren med att tala om den reservation, som jag avgivit vid denna paragraf, för såvitt icke det hade inträffat ett missöde, bestående däri att i den lagtext som framlagts i reservationen ett stycke blivit uteslutet, som bort vara med. För att få detta misstag rättat i protokollet ser jag mig nödsakad att framställa yrkande om bifall till denna reservation. Den skall lyda såsom det angives på sidan 119 i betän-</w:t>
        <w:br/>
        <w:br/>
        <w:t xml:space="preserve">kandet, men efter första stycket på sidan 120 skall ingå ett andra stycke, så lydande: »2. Har </w:t>
      </w:r>
      <w:r>
        <w:rPr>
          <w:b/>
        </w:rPr>
        <w:t>kvinna¹</w:t>
      </w:r>
      <w:r>
        <w:rPr>
          <w:b w:val="0"/>
        </w:rPr>
        <w:t xml:space="preserve"> blivit hävdad under äktenskapslöfte; brytes förbindelsen och bär mannen huvudsakligen skulden därtill, äge </w:t>
      </w:r>
      <w:r>
        <w:rPr>
          <w:b/>
        </w:rPr>
        <w:t>kvinnan¹</w:t>
      </w:r>
      <w:r>
        <w:rPr>
          <w:b w:val="0"/>
        </w:rPr>
        <w:t xml:space="preserve"> den rätt till skadestånd, som i 1 kap. 3 &amp; första stycket lagen om äktenskaps ingående och upplösning är stadgad.» Därefter skall komma såsom ett tredje stycke det som i reservationen betecknats såsom det andra.</w:t>
      </w:r>
    </w:p>
    <w:p>
      <w:pPr>
        <w:pStyle w:val="Heading2"/>
      </w:pPr>
      <w:r>
        <w:t>2. unknown (–, –)</w:t>
      </w:r>
    </w:p>
    <w:p>
      <w:r>
        <w:rPr>
          <w:b w:val="0"/>
        </w:rPr>
        <w:t>Herr talman! Jag skall be att få yrka bifall till utskottets förslag. Det yrkande, som herr Petersson i Lidingö villastad framställt, är endast en konsekvens av hans</w:t>
        <w:br/>
        <w:br/>
        <w:t>reservation vid 1 kap. 1$, vilken reservation kammaren emellertid icke bifallit.</w:t>
        <w:br/>
        <w:br/>
        <w:t>Nu är förmyndare lagligen nämnd; underrätte sig då noga om den omyndigas arv i löst och fast. Är det ej upptecknat; låte det genast ske, som förr sagt är, och vårde han barnagodset som sitt eget, eller gälde skadan.</w:t>
        <w:br/>
        <w:br/>
        <w:t xml:space="preserve">Går den omyndigas fader eller </w:t>
      </w:r>
      <w:r>
        <w:rPr>
          <w:b/>
        </w:rPr>
        <w:t>moder²</w:t>
      </w:r>
      <w:r>
        <w:rPr>
          <w:b w:val="0"/>
        </w:rPr>
        <w:t xml:space="preserve"> i nytt äktenskap, och har ej bodelning skett efter tidigare giftet, drage förmyndaren därom försorg.</w:t>
      </w:r>
    </w:p>
    <w:p>
      <w:pPr>
        <w:pStyle w:val="Heading2"/>
      </w:pPr>
      <w:r>
        <w:t>3. Johan Rehn (Utan partibeteckning, man)</w:t>
      </w:r>
    </w:p>
    <w:p>
      <w:r>
        <w:rPr>
          <w:b w:val="0"/>
        </w:rPr>
        <w:t>Herr talman! Det bereddes mig tillfälle att deltaga i lagutskottets behandling av denna punkt, men vid utlåtandets justering var jag förhindrad närvara och kom sålunda icke i tillfälle att låta anteckna mig såsom reservant, varför jag skall be att nu få yttra några ord.</w:t>
        <w:br/>
        <w:br/>
        <w:t xml:space="preserve">Det förslag, som här föreligger, innebär, att förmyndare för omyndigt barn skall åläggas skyldighet att draga försorg om att bodelning kommer till stånd så snart den efterlevande maken ingår nytt äktenskap. Hela motiveringen till detta stadgande inrymmes på ungefär två rader i lagberedningens förslag, och har följande lydelse: »Äro arvingarna omyndiga barn i tidigare giftet, lärer det dock för tillgodoseende av deras bästa vara av vikt att boet ej förbliver oskiftat under det nya äktenskapet.» I den motion i ämnet, som jag tillåtit mig framföra, har jag sökt påvisa, att det icke alla gånger länder till barnens bästa, att bodelning efter en avliden far eller </w:t>
      </w:r>
      <w:r>
        <w:rPr>
          <w:b/>
        </w:rPr>
        <w:t>mor²</w:t>
      </w:r>
      <w:r>
        <w:rPr>
          <w:b w:val="0"/>
        </w:rPr>
        <w:t xml:space="preserve"> framtvingas vid en viss tidpunkt. Till stöd härför har jag åberopat vad en ledamot av lagrådet yttrat vid förslagets granskning och därvid fogat några erinringar, som jag grundat på den kännedom och erfarenhet, som jag varit i tillfälle att förskaffa mig på detta område. Det kunde finnas åtskilliga talande exempel att anföra, men jag skall avstå därifrån. Jag skall icke heller upprepa de skäl, som anförts i motionen. De hava icke blivit motsagda vare sig i den diskussion som förekom i lagutskottet eller i utskottets utlåtande. Tvärtom synes utskottet vilja giva mig rätt, då utskottet säger, att det icke kan bestridas, att olägenheter av den art som i motionen avses kunna uppstå på grund av det föreslagna stadgandet. Utskottet anser emellertid, att de omyndigas intressen skulle i hög grad äventyras, om det lämnades åt förmyndaren att avgöra, vilken tidpunkt vore lämpligast för bodelning. Utskottet har visserligen icke med ett enda ord sagt, vari dessa äventyrligheter skulle bestå, men man är kanske nödsakad tro den satsen, eftersom utskottet säger att det är så. Läser man lagberedningens motiv för det s. k. avvittringshindrets undanrödjande och det är ju detta, som ligger till grund för stadgandet — så får man det bestämda intrycket, att det icke föreligger någon fara eller några äventyrligheter för arvingarna vid omgiftet, om de själva vilja bevaka sin rätt. Såsom sammanfattning av vad lagberedningen i den delen framhållit yttrar den slutligen: »Om därför uttryckligen stadgas, att omgiftet berättigar en var dödsbodelägare att utan hinder av sådant avtal erhålla delning av boet, torde, även därest förutgången avvittring icke vidare bliver ett villkor för nytt gifte, vara tillbörligen sörjt för, att delägare, som själva vilja bevaka sin rätt, icke skola äventyra att till följd av det nya äktenskapet gå i mistning därav.»</w:t>
        <w:br/>
        <w:br/>
        <w:t>Detta resonemang synes mig alldeles riktigt. Nu har kammaren nyss antagit en paragraf, som berättigar varje dödsbodelägare, således även förmyndaren, att, så snart den efterlevande maken ingår nytt äktenskap, erhålla skifte, även om dessförinnan överenskommelse skulle ha träffats mellan sterbhusdelägarne att leva tillsammans i oskiftat bo. Man får väl förutsätta, att förmyndaren icke låter det gå vind för våg med boet, då han har ansvaret för barnens tillgångar och är skyldig att vårda barnagodset såsom sitt eget eller gälda skadan, såsom det står i första stycket av denna paragraf, som vi nu behandla. Mig synes så gott som självfallet, att förmyndaren påyrkar bodelning, så vida han icke finner, att myndlingarnas bästa tillvaratages bättre genom att det får bero någon tid därmed. Och jag får säga, att jag icke av vad lagutskottet och lagberedningen anfört känner mig övertygad, att icke förmyndaren bättre än vi här i riksdagen bör vara i stånd att bedöma, vad som i de konkreta fallen bäst gagnar barnens intressen. Jag vill visst icke bestrida, att förmyndare kunna finnas, som låta sig påverkas från sådana håll, där man söker skaffa sig fördelar på myndlingarnas bekostnad, men i så fall hjälper icke denna bestämmelse. Förmyndaren drabbas icke av strängare påföljd, om han åsidosätter denna bestämmelse, än om han i annat avseende eftersätter sin plikt. Försummar han sina skyldigheter mot barnen och är han av den sorten, att han vanvårdar eller missvårdar barnagodset, då betyder det föga, om bodelning sker aldrig än så tidigt, ja, då vore det kanske bäst, om det dröjde så länge att han aldrig finge något om hand.</w:t>
        <w:br/>
        <w:br/>
        <w:t xml:space="preserve">Men, mina herrar, saken har också en annan sida. Med detta stadgande når man icke på långt när alla förmyndare och speciellt icke de förmyndare, för vilka en sådan här föreskrift kunde vara mest behövlig. Denna lagbestämmelse handlar endast om det fall, då omyndigs far eller </w:t>
      </w:r>
      <w:r>
        <w:rPr>
          <w:b/>
        </w:rPr>
        <w:t>mor²</w:t>
      </w:r>
      <w:r>
        <w:rPr>
          <w:b w:val="0"/>
        </w:rPr>
        <w:t xml:space="preserve"> ingår nytt äktenskap, men huru ofta äro icke arvingarna andra omyndiga än barn till den som gifter om sig? Det kan t. ex. vara den avlidne makens omyndiga syskon eller syskonbarn eller andra omyndiga personer, t. o. m. omyndiga barnbarn. Det händer väl icke så sällan, att en farfar eller morfar, farmor eller mormor gifter om sig. Alla dessa och dylika fall komma fullständigt utanför lagens räckvidd, ty här är endast fråga om när den omyndigas fader eller </w:t>
      </w:r>
      <w:r>
        <w:rPr>
          <w:b/>
        </w:rPr>
        <w:t>moder²</w:t>
      </w:r>
      <w:r>
        <w:rPr>
          <w:b w:val="0"/>
        </w:rPr>
        <w:t xml:space="preserve"> ingår nytt äktenskap. För mig står det alldeles klart, att om det är nödvändigt, att bodelning sker, då det är egna barn, som taga arv, så är detta ännu mera nödvändigt, då det är andra omyndiga barn, som äro arvsberättigade.</w:t>
        <w:br/>
        <w:br/>
        <w:t>Nu har jag samma uppfattning som den ledamot av lagrådet, som yrkat, att denna paragraf måtte utgå. Jag anser nämligen, att det icke innebär fara för de omyndiga, att det överlåtes åt förmyndaren att bestämma i denna sak. Han tvingas nog av sin ekonomiska risk att bevaka barnens intressen så långt man över huvud genom civilrättsliga bestämmelser kan förmå honom därtill.</w:t>
        <w:br/>
        <w:br/>
        <w:t>Den förmenta faran må emellertid vara stor eller liten — därom kan man givetvis ha olika uppfattning —- men vad som är mycket svårt att förstå och vad jag knappast tror någon på sakliga grunder</w:t>
        <w:br/>
        <w:br/>
        <w:t>kan försvara är, att man ska lämna en viss kategori av förmyndare fullständig handlingsfrihet att bestämma i dessa saker, under det att man tvingar in andra förmyndare under en lagbestämmelse, om vilken lagutskottet själft säger, att det icke kan bestridas att den kan komma att medföra olägenheter för vissa omyndiga barn. Nog tycker jag, att det finnes goda skäl att uppskjuta denna sak och låta vederbörande göra en liten omarbetning, så att man får enhetliga bestämmelser för alla dessa fall där själva sakförhållandena äro så påtagligen likartade. Om man nödvändigt vill ha en sådan här lag, kan ett uppskov till nästa år icke medföra några olägenheter. Detta stadgande är ju alldeles fristående från den övriga äktenskapslagstiftningen, som nu behandlas.</w:t>
        <w:br/>
        <w:br/>
        <w:t>Lagutskottet har emellertid antytt, att de åtgärder, som kunna. vara påkallade i motionens syfte, skola komma att vidtagas i samband med en mera vittomfattande revision av förmynderskapsrätten. För detta uttalande är jag lagutskottet mycket tacksam, men i alla fall tror jag, att det kommer att dröja en avsevärd tid, innan en sådan revision kommer till stånd, och under tiden skall denna besynrnerliga åtskillnad mellan förmyndare bestå, som genom en omformulering och omflyttning av detta stadgande skulle, efter vad en lekman kan fatta, med största lätthet kunna avhjälpas.</w:t>
        <w:br/>
        <w:br/>
        <w:t>Om jag trodde, att jag kunde få kammaren med på ett återremissyrkande, så skulle jag framställa ett sådant, men detta lärer väl knappast vara möjligt mot ett enhälligt lagutskott, och jag nödgas därför, herr talman, ehuru utan hopp om framgång yrka avslag på den föreliggande paragrafen.</w:t>
        <w:br/>
        <w:br/>
        <w:t>myndaren därom försorg.» Det skall alltså enligt detta förslag tillses, att under en dylik situation en särskild förmyndare förordnas för de omyndiga barnen, vilken det åligger att besörja, att bodelning sker efter det förra giftet. Nu anser motionären, att detta är olämpligt. Han säger, att det föreligger icke fara för arvingarna, om de blott bevaka sin rätt. Nå, detta är gott och väl, men i de flesta fall äro väl arvingarna omyndiga och kunna således icke själva bevaka sin rätt, utan måste ha en förmyndare. Ja, då menar motionären att det icke är så farligt med detta heller, ty har förmyndaren förstånd och samvete, så sköter han nog saken ordentligt, och sköter han den icke, så blir han ansvarig. Jag föreställer mig dock, att detta argument icke är tillfredsställande, ty det kan hända, att när förmyndaren ställes till ansvar, har - intet att betala med. Jag tror därför det är farligt att följa motionären och att det medför åtminstone något skydd för de omyndiga att bibehålla det stycke, mot vilket hans motion vänder sig. Men gärna erkänner jag, att olägenheter stundom kunna inträffa i följd av ett sådant arrangemang, och jag ger motionären rätt däri, att denna fråga bör ånyo tagas upp till behandling i hela dess vidd, innan den kan anses vara slutgiltigt löst.</w:t>
        <w:br/>
        <w:br/>
        <w:t>Nu är det ju så, att lagberedningen i fråga om familjerätten utarbetat förslag rörande endast en del av densamma, omfattande icke en gång hela giftermålsbalken, utan endast vissa delar därav, med uppgiven avsikt att framdeles fortsätta och framlägga förslag till omarbetande av familjerättens övriga delar. en då man haft att behandla de nu föreliggande delarna av giftermålsbalken, så har man också måst komma in på denna sak, därför att man ansett avvittringshindret böra avskaffas. Det är emellertid alldeles uppenbart, att när inom en icke alltför avlägsen framtid ärvdabalken skall tagas upp till omarbetning, även detta spörsmål kommer att bli föremål för en fullständig behandling, och då är det att förvänta, att motionärens önskemål bättre skola bli tillgodosedda.</w:t>
        <w:br/>
        <w:br/>
        <w:t>Jag ber således, herr talman, att få yrka bifall till utskottets förslag.</w:t>
      </w:r>
    </w:p>
    <w:p>
      <w:pPr>
        <w:pStyle w:val="Heading2"/>
      </w:pPr>
      <w:r>
        <w:t>4. Jakob Pettersson (Liberala riksdagspartiet, man)</w:t>
      </w:r>
    </w:p>
    <w:p>
      <w:r>
        <w:rPr>
          <w:b w:val="0"/>
        </w:rPr>
        <w:t>Herr talman! Under åberopande av vad jag förut anfört ber jag att få yrka bifall till den av mig m. fl. vid denna punkt avgivna reservationen.</w:t>
      </w:r>
    </w:p>
    <w:p>
      <w:pPr>
        <w:pStyle w:val="Heading2"/>
      </w:pPr>
      <w:r>
        <w:t>5. Sven Persson (Socialdemokraterna, man)</w:t>
      </w:r>
    </w:p>
    <w:p>
      <w:r>
        <w:rPr>
          <w:b w:val="0"/>
        </w:rPr>
        <w:t xml:space="preserve">Jag vill här tillåta mig att anföra, att jag gått med på detta skrivelseförslag blott med viss tvekan. Jag har nämligen icke kunnat instämma i hela motiveringen till den reservation, som anförts vid en tidigare punkt och som även innehåller motiveringen till detta skrivelseförslag. Icke heller kan jag i alla delar instämma i det anförande, som herr Pettersson i Södertälje höll vid en tidigare punkt, och vari han även motiverade skrivelseförslaget. Jag anser nämligen, att många och starka skäl anförts mot bibehållande av de ofullkomnade äktenskapen. Det lärer icke kunna bestridas, att dessa ofullkomnade äktenskap i allmänhet äro äktenskap endast till namnet och icke till gagnet, ity att de ju icke äro förbundna med något äktenskapligt samliv. Ett dylikt ofullkomnat äktenskap lärer väl också i allmänhet innebära, att dylikt samliv är alldeles omöjligt, vadan det blir ett tvångsäktenskap, som icke gärna är förenligt med naturen i den nya lag, som vi här antagit. Emellertid är det ju så, att det dock finns ett visst fog för den ståndpunkten, att </w:t>
      </w:r>
      <w:r>
        <w:rPr>
          <w:b/>
        </w:rPr>
        <w:t>kvinnan¹</w:t>
      </w:r>
      <w:r>
        <w:rPr>
          <w:b w:val="0"/>
        </w:rPr>
        <w:t xml:space="preserve"> vid särskilda tillfällen kan behöva få även någon annan upprättelse än den rent materiella, den rent ekonomiska. Man har också i vissa delar av motiverin-</w:t>
        <w:br/>
        <w:br/>
        <w:t xml:space="preserve">gen till det förevarande skrivelseförslaget uttryckt sig så försiktigt, att man säger, att de ofullkomnade äktenskapen icke förtjäna att alldeles utmönstras ur rättssystemet. Det anföres vidare i reservationen, att det exempelvis synes »kunna ifrågasättas, om giftorätt under några förhållanden bör äga rum 1 äktenskap av ifrågavarande slag» samt, att skilsmässa torde »i desamma kunna äga rum under väsentligt mindre betungande former än för närvarande medgives». Det har sålunda i motiveringen gjorts starka reservationer mot de ofullkomnade äktenskapen i den form, de för närvarande ha, och det är på grund av dessa starka reservationer, som jag gått med på att yrka bifall till detta skrivelseförslag. Däri föreslås icke, att skrivelsen skall ge utredningen direktiv att införa ofullkomnade äktenskap igen i deras nuvarande form eller ens i liknande form, när en ny lagstiftning angående utom äktenskapet födda barns ställning kommer, utan där yrkas ju, att man skall taga i övervägande, på vilket sätt genom lagstiftningens försorg ej blott ekonomiskt skadestånd utan jämväl upprättelse i andra avseenden lämpligen må kunna beredas sådana barns </w:t>
      </w:r>
      <w:r>
        <w:rPr>
          <w:b/>
        </w:rPr>
        <w:t>mödrar²</w:t>
      </w:r>
      <w:r>
        <w:rPr>
          <w:b w:val="0"/>
        </w:rPr>
        <w:t xml:space="preserve">, ete. Det är i denna försiktiga form jag gått med på skrivelsen och jag har velat här betona, att fastän jag tager. avstånd från de ofullkomnade äktenskapen jag därför icke vill taga avstånd från, att annan ersättning än ekonomisk i någon form må kunna beredas </w:t>
      </w:r>
      <w:r>
        <w:rPr>
          <w:b/>
        </w:rPr>
        <w:t>kvinna¹</w:t>
      </w:r>
      <w:r>
        <w:rPr>
          <w:b w:val="0"/>
        </w:rPr>
        <w:t>, som blivit under trolovningstiden av mannen övergiven.</w:t>
        <w:br/>
        <w:br/>
        <w:t>Jag har intet annat yrkande att göra än om bifall till vad vi föreslagit, i vad gäller själva skrivelsen, utan att dock instämma i den motivering, som ligger bakom densamma.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1308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