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235</w:t>
      </w:r>
    </w:p>
    <w:p>
      <w:r>
        <w:rPr>
          <w:b/>
        </w:rPr>
        <w:t xml:space="preserve">Datum: </w:t>
      </w:r>
      <w:r>
        <w:t>1915-05-03</w:t>
      </w:r>
    </w:p>
    <w:p>
      <w:r>
        <w:rPr>
          <w:b/>
        </w:rPr>
        <w:t xml:space="preserve">Kammare: </w:t>
      </w:r>
      <w:r>
        <w:t>Första kammaren</w:t>
      </w:r>
    </w:p>
    <w:p>
      <w:r>
        <w:rPr>
          <w:b/>
        </w:rPr>
        <w:t xml:space="preserve">Antal yttranden: </w:t>
      </w:r>
      <w:r>
        <w:t>31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Thyren (Utan partibeteckning, man)</w:t>
      </w:r>
    </w:p>
    <w:p>
      <w:r>
        <w:rPr>
          <w:b w:val="0"/>
        </w:rPr>
        <w:t>Herr statsrådet måste väl ha missförstått mig, ty jag antog det fall, att personerna, innan de varit gifta, idkat lönskaläge med varandra och därpå begärt Kungl. Maj:ts dispens, varpå det kan tänkas, att de samtidigt få kunglig tillåtelse att gifta sig med varandra och dömas till två års straffarbete för det de redan idkat könsumgänge.</w:t>
        <w:br/>
        <w:br/>
      </w:r>
      <w:r>
        <w:rPr>
          <w:b/>
        </w:rPr>
        <w:t>Kvinna¹</w:t>
      </w:r>
      <w:r>
        <w:rPr>
          <w:b w:val="0"/>
        </w:rPr>
        <w:t xml:space="preserve">, som varit gift, må ej inom tio månader från äktenskapets upplösning ingå nytt gifte, med mindre </w:t>
      </w:r>
      <w:r>
        <w:rPr>
          <w:b/>
        </w:rPr>
        <w:t>hon²</w:t>
      </w:r>
      <w:r>
        <w:rPr>
          <w:b w:val="0"/>
        </w:rPr>
        <w:t xml:space="preserve"> icke är havande från tiden före upplösningen eller tio månader förflutit, sedan sammanlevnaden med mannen upphörde.</w:t>
      </w:r>
    </w:p>
    <w:p>
      <w:pPr>
        <w:pStyle w:val="Heading2"/>
      </w:pPr>
      <w:r>
        <w:t>2. Emil Gezelius (–, man)</w:t>
      </w:r>
    </w:p>
    <w:p>
      <w:r>
        <w:rPr>
          <w:b w:val="0"/>
        </w:rPr>
        <w:t xml:space="preserve">Aven vid den 11 $ har jag i sällskap med kamrater i utskottet antecknat en reservation, fast vi icke alla lyckats bliva helt ense om slutet. Enligt det föreliggande förslaget skulle för </w:t>
      </w:r>
      <w:r>
        <w:rPr>
          <w:b/>
        </w:rPr>
        <w:t>kvinna¹</w:t>
      </w:r>
      <w:r>
        <w:rPr>
          <w:b w:val="0"/>
        </w:rPr>
        <w:t xml:space="preserve">, som varit gift, gälla en viss väntetid för ingående av nytt äktenskap. Innebörden av detta stadgande är emellertid, att, därest </w:t>
      </w:r>
      <w:r>
        <w:rPr>
          <w:b/>
        </w:rPr>
        <w:t>kvinna¹</w:t>
      </w:r>
      <w:r>
        <w:rPr>
          <w:b w:val="0"/>
        </w:rPr>
        <w:t xml:space="preserve"> med vederbörligt läkarbetyg styrkt, att </w:t>
      </w:r>
      <w:r>
        <w:rPr>
          <w:b/>
        </w:rPr>
        <w:t>hon²</w:t>
      </w:r>
      <w:r>
        <w:rPr>
          <w:b w:val="0"/>
        </w:rPr>
        <w:t xml:space="preserve"> icke är havande från tiden för upplösningen, eller då tio månader förflutit, sedan sammanlevnaden med den förra mannen upphörde, möter icke hinder för </w:t>
      </w:r>
      <w:r>
        <w:rPr>
          <w:b/>
        </w:rPr>
        <w:t>kvinnan¹</w:t>
      </w:r>
      <w:r>
        <w:rPr>
          <w:b w:val="0"/>
        </w:rPr>
        <w:t xml:space="preserve"> att genast ingå nytt äktenskap. Bestämmelsen behöver således icke föranleda en dags dröjsmål för en </w:t>
      </w:r>
      <w:r>
        <w:rPr>
          <w:b/>
        </w:rPr>
        <w:t>kvinna¹</w:t>
      </w:r>
      <w:r>
        <w:rPr>
          <w:b w:val="0"/>
        </w:rPr>
        <w:t xml:space="preserve">, vars föregående äktenskap upplöses vare sig genom mannens död eller genom skillnad eller återgång, att ingå ett nytt äktenskap, och det blir det regelmässiga, att bestämmelsen icke hindrar då ett föregående äktenskap har upplösts efter föregående hemskillnad. Då hemskillnadsåret har gått, anses en tid av tio månader ha förflutit, sedan sammanlevnaden upphörde, och då kan nytt äktenskap inträda omedelbart. I utskottet har, som kammaren behagade erinra sig, vid 3 kap. 3 och 7 88 av en del reservanter yrkats en lagbestämd kortaste tid, inom vilken ny lysning med annan får uttagas. Har jag uttagit lysning för att ingå giftermål med en </w:t>
      </w:r>
      <w:r>
        <w:rPr>
          <w:b/>
        </w:rPr>
        <w:t>kvinna¹</w:t>
      </w:r>
      <w:r>
        <w:rPr>
          <w:b w:val="0"/>
        </w:rPr>
        <w:t xml:space="preserve">, har jag icke rätt enligt denna reservation att vinna lysning för att ingå äktenskap med en annan, förrän tre månader gått efter den förra lysningens verkställande. Skälet härtill är, att det skulle verka stötande. Det är alltså en ordningsbestämmelse. Nu har visserligen icke utskottets majoritet anslutit sig till denna uppfattning. Skillnaden mellan antalet ledamöter, som bilda majoriteten och minoriteten, är mycket liten, och utskottet erkänner självt, att ett sådant förhållande borde betraktas som ett oskick. Det borde således även för utskottet finnas anledning att förhindra det. Man förlitar sig emellertid på att anständighetskänslan hos vederbörande skall lämna säkerhet nog. Det räcker dock icke långt med anständighetskänslan för vissa individer på detta område. Därpå ha personer, som ha rikare erfarenhet än jag, lämnat drastiska exempel. Från min egen erfarenhet har jag också sett, att när det gäller ingående av nytt äktenskap, finnes det människor, som icke tveka inför vad som åtminstone enligt vanliga begrepp borde förbjudas av anständighetskänslan. Detta är således den ordningssynpunkt jag anlagt, och jag har i min reservation gått mycket blygsamt fram, då jag förutom den i lagförslaget angivna väntetiden för </w:t>
      </w:r>
      <w:r>
        <w:rPr>
          <w:b/>
        </w:rPr>
        <w:t>kvinnan¹</w:t>
      </w:r>
      <w:r>
        <w:rPr>
          <w:b w:val="0"/>
        </w:rPr>
        <w:t xml:space="preserve">, vilken, som jag framhållit, icke behöver betyda någonting alls, fordrat en tid av minst tre månader. Jag har därvid jämställt mannen och </w:t>
      </w:r>
      <w:r>
        <w:rPr>
          <w:b/>
        </w:rPr>
        <w:t>kvinnan¹</w:t>
      </w:r>
      <w:r>
        <w:rPr>
          <w:b w:val="0"/>
        </w:rPr>
        <w:t>, och jag har velat lämna möjlighet öppen att förkorta tiden genom kungl. dispens, om särskilda skäl kalle kunna åberopas därför. Då jag icke gått längre,</w:t>
        <w:br/>
        <w:br/>
        <w:t xml:space="preserve">bar det uteslutande sin grund i min allvarliga strävan att så myc- Lagförslag om ket som möjligt följa detta lagförslag och att icke trasa till det ftenstaps: för mycket. Då jag icke har större anspråk och åtminstone kan ”Vsning påvisa en med lysningsbestämmelserna följdriktig uppfattning av m.m. ifrågavarande stadgande, tillåter jag mig att endast med denna = (Forts.) korta motivering yrka bifall till reservationen, sådan jag har avfattat den. Dock skulle jag ock, vad jag förbisåg, kanske be att få framhålla en synpunkt till. Och det är den hänsyn, som man enligt mitt förmenande bör taga till lagstiftningens förändrade uppfattning angående dens rätt att ingå nytt äktenskap, som brutit föregående äktenskap med hor. Här har lagförslaget intagit en från nu gällande rätt radikalt förändrad ståndpunkt, och man må icke bemöta mitt framhållande av min synpunkt därmed, att den man eller </w:t>
      </w:r>
      <w:r>
        <w:rPr>
          <w:b/>
        </w:rPr>
        <w:t>kvinna¹</w:t>
      </w:r>
      <w:r>
        <w:rPr>
          <w:b w:val="0"/>
        </w:rPr>
        <w:t>, som brutit ett föregående äktenskap med hor, den kan icke komma att missbruka den här lättheten att ingå nytt äktenskap, ty om horsbrottet bleve bekant alltför tidigt, skulle det kunna förenleda straffpåföljd. Mina herrar! I hur många äktenskap har icke beklagligtvis ett horsbrott från endera makens sida utgjort den verkliga anledningen till äktenskapets upplösning, ehuru det endast beträffande ett fåtal av dessa äktenskap lör känt vad som varit den verkliga anledningen?</w:t>
      </w:r>
    </w:p>
    <w:p>
      <w:pPr>
        <w:pStyle w:val="Heading2"/>
      </w:pPr>
      <w:r>
        <w:t>3. Berndt Hasselrot (–, man)</w:t>
      </w:r>
    </w:p>
    <w:p>
      <w:r>
        <w:rPr>
          <w:b w:val="0"/>
        </w:rPr>
        <w:t>Jag skall yttra mig ännu kortare än herr Gezelius.</w:t>
        <w:br/>
        <w:br/>
        <w:t>Vad först beträffar frågan om skilsmässa på grund av horsbrott, så har jag redan förut yttrat mig därom och sökt bemöta de gjorda vn Jag vill endast tillägga, att erfarenheten från främmande länder visar, att man icke alls förekommer horsbrott genom sådana stadganden som herr Gezelius avsett.</w:t>
        <w:br/>
        <w:br/>
        <w:t>Vad vidare äktenskapets upplösning på grund av skillnad angår, så vill jag konstatera, att vad här i 11 8 föreskrives är i fullkomlig överensstämmelse med den praxis, som sedan åtskilliga är varit rådande hos Kungl. Maj:t.</w:t>
        <w:br/>
        <w:br/>
        <w:t xml:space="preserve">Slutligen vill jag beträffande sorgetiden påpeka, att den icke är betingad av några rättsliga hänsyn. Den är, såsom lagberedningen anmärker, en vacker och god plägsed, men vare sig riksdagen nu antager Kungl. Majts förslag eller herr Gezelius” reservation, så är det nog klart, hoppas jag, att den verkliga sorgetiden kommer att bliva längre än dessa tre månader. Fara föreligger emellertid, att om Kungl. Maj:t och riksdagen säga, att sorgetiden skall vara tre månader, så får folket för sig, att man enligt statsmakternas mening icke bör sörja sin </w:t>
      </w:r>
      <w:r>
        <w:rPr>
          <w:b/>
        </w:rPr>
        <w:t>maka³</w:t>
      </w:r>
      <w:r>
        <w:rPr>
          <w:b w:val="0"/>
        </w:rPr>
        <w:t xml:space="preserve"> längre än tre månader.</w:t>
      </w:r>
    </w:p>
    <w:p>
      <w:pPr>
        <w:pStyle w:val="Heading2"/>
      </w:pPr>
      <w:r>
        <w:t>4. Valerius Olsson (Första kammarens nationella parti, man)</w:t>
      </w:r>
    </w:p>
    <w:p>
      <w:r>
        <w:rPr>
          <w:b w:val="0"/>
        </w:rPr>
        <w:t>Då jag i övrigt instämt med herr Gezelius i vad han yrkat ifråga om väntetid för nytt äktenskaps ingående, men har en något avvikande mening om denna väntetids längd, skall jag be att få yttra några ord.</w:t>
        <w:br/>
        <w:br/>
        <w:t>Centralstyrelsen för allmänna svenska prästföreningen har i frågan gjort följande uttalande: "</w:t>
        <w:br/>
        <w:br/>
        <w:t xml:space="preserve">»Inga som helst bärande skäl föreligga att frångå de gamla bestämmelserna om ”'sorgetid', som sedan gammalt ingått i det allmänna medvetandet. För denna sin mening har Centralstyrelsen den stora förmånen att kunna åberopa sig på och ytterligare understryka lagberedningens egna ord härom. Denna säger nämligen, att sorgetiden 'är en god och vacker sed, vars bortdöende icke någon lärer finna önskligt. Det är därför högst önskligt, att lagen må allt forfaranda stadfästa vad bruket ansett grannlagenheten och anständigheten fordra.» Centralstyrelsen vill alltså ha kvar nu gällande bestämmelser, enligt vilka änkling eller </w:t>
      </w:r>
      <w:r>
        <w:rPr>
          <w:b/>
        </w:rPr>
        <w:t>änka²</w:t>
      </w:r>
      <w:r>
        <w:rPr>
          <w:b w:val="0"/>
        </w:rPr>
        <w:t xml:space="preserve"> ej må träda 1 annat gifte, förrän han ett halvt år änkling och </w:t>
      </w:r>
      <w:r>
        <w:rPr>
          <w:b/>
        </w:rPr>
        <w:t>hon²</w:t>
      </w:r>
      <w:r>
        <w:rPr>
          <w:b w:val="0"/>
        </w:rPr>
        <w:t xml:space="preserve"> ett år </w:t>
      </w:r>
      <w:r>
        <w:rPr>
          <w:b/>
        </w:rPr>
        <w:t>änka²</w:t>
      </w:r>
      <w:r>
        <w:rPr>
          <w:b w:val="0"/>
        </w:rPr>
        <w:t xml:space="preserve"> varit. Emellertid torde man nog vara rätt ense därom, att skall väntetiden eller sorgetiden bibehållas, så bör denna, jämte den för </w:t>
      </w:r>
      <w:r>
        <w:rPr>
          <w:b/>
        </w:rPr>
        <w:t>kvinna¹</w:t>
      </w:r>
      <w:r>
        <w:rPr>
          <w:b w:val="0"/>
        </w:rPr>
        <w:t xml:space="preserve">, som varit gift, i vissa fall föreslagna, sättas lika för både man och </w:t>
      </w:r>
      <w:r>
        <w:rPr>
          <w:b/>
        </w:rPr>
        <w:t>kvinna¹</w:t>
      </w:r>
      <w:r>
        <w:rPr>
          <w:b w:val="0"/>
        </w:rPr>
        <w:t xml:space="preserve">. Herr Gezelius har nu föreslagit en väntetid av tre månader. Det synes mig verkligen, som om anständigheten och grannlagenheten krävde, att denna väntetid bestämdes till minst sex månader för både man och </w:t>
      </w:r>
      <w:r>
        <w:rPr>
          <w:b/>
        </w:rPr>
        <w:t>kvinna¹</w:t>
      </w:r>
      <w:r>
        <w:rPr>
          <w:b w:val="0"/>
        </w:rPr>
        <w:t xml:space="preserve"> eller samma tid, som nu gäller för änkling. Jag får därför yrka bifall till herr Gezelius” reservation med den ändring, som innefattas i den av mig avgivna reservationen.</w:t>
      </w:r>
    </w:p>
    <w:p>
      <w:pPr>
        <w:pStyle w:val="Heading2"/>
      </w:pPr>
      <w:r>
        <w:t>5. Johan Thyren (Utan partibeteckning, man)</w:t>
      </w:r>
    </w:p>
    <w:p>
      <w:r>
        <w:rPr>
          <w:b w:val="0"/>
        </w:rPr>
        <w:t xml:space="preserve">Såvitt jag kan se, innesluter denna 11 $ uti sin sista del det fall, att det är synbart eller eljest notoriskt, att </w:t>
      </w:r>
      <w:r>
        <w:rPr>
          <w:b/>
        </w:rPr>
        <w:t>kvinnan¹</w:t>
      </w:r>
      <w:r>
        <w:rPr>
          <w:b w:val="0"/>
        </w:rPr>
        <w:t xml:space="preserve"> är havande vid tiden för äktenskapets upplösning. Då frågas det: när får </w:t>
      </w:r>
      <w:r>
        <w:rPr>
          <w:b/>
        </w:rPr>
        <w:t>hon²</w:t>
      </w:r>
      <w:r>
        <w:rPr>
          <w:b w:val="0"/>
        </w:rPr>
        <w:t xml:space="preserve"> lov att gifta om sig? Jo, säger förslaget, </w:t>
      </w:r>
      <w:r>
        <w:rPr>
          <w:b/>
        </w:rPr>
        <w:t>hon²</w:t>
      </w:r>
      <w:r>
        <w:rPr>
          <w:b w:val="0"/>
        </w:rPr>
        <w:t xml:space="preserve"> får i regel vänta den här stadgade tiden ut, såvida </w:t>
      </w:r>
      <w:r>
        <w:rPr>
          <w:b/>
        </w:rPr>
        <w:t>hon²</w:t>
      </w:r>
      <w:r>
        <w:rPr>
          <w:b w:val="0"/>
        </w:rPr>
        <w:t xml:space="preserve"> icke bevisar, att </w:t>
      </w:r>
      <w:r>
        <w:rPr>
          <w:b/>
        </w:rPr>
        <w:t>hon²</w:t>
      </w:r>
      <w:r>
        <w:rPr>
          <w:b w:val="0"/>
        </w:rPr>
        <w:t xml:space="preserve"> icke haft könsumgänge med sin man de sista tio månaderna. Det vill säga, </w:t>
      </w:r>
      <w:r>
        <w:rPr>
          <w:b/>
        </w:rPr>
        <w:t>hon²</w:t>
      </w:r>
      <w:r>
        <w:rPr>
          <w:b w:val="0"/>
        </w:rPr>
        <w:t xml:space="preserve"> får gifta om sig genast, om horsbrott förelegat inom tio månader tillbaka. Det kan man kalla en premiering av horsbrott! Är </w:t>
      </w:r>
      <w:r>
        <w:rPr>
          <w:b/>
        </w:rPr>
        <w:t>hon²</w:t>
      </w:r>
      <w:r>
        <w:rPr>
          <w:b w:val="0"/>
        </w:rPr>
        <w:t xml:space="preserve"> havande och har icke haft könsumgänge med mannen på tio månader — det alternativet framhålles tydligt i sista satsen — så betyder det, att </w:t>
      </w:r>
      <w:r>
        <w:rPr>
          <w:b/>
        </w:rPr>
        <w:t>hon²</w:t>
      </w:r>
      <w:r>
        <w:rPr>
          <w:b w:val="0"/>
        </w:rPr>
        <w:t xml:space="preserve"> begått horsbrott. Kan </w:t>
      </w:r>
      <w:r>
        <w:rPr>
          <w:b/>
        </w:rPr>
        <w:t>hon²</w:t>
      </w:r>
      <w:r>
        <w:rPr>
          <w:b w:val="0"/>
        </w:rPr>
        <w:t xml:space="preserve"> visa detta, får </w:t>
      </w:r>
      <w:r>
        <w:rPr>
          <w:b/>
        </w:rPr>
        <w:t>hon²</w:t>
      </w:r>
      <w:r>
        <w:rPr>
          <w:b w:val="0"/>
        </w:rPr>
        <w:t xml:space="preserve"> genast gifta sig.</w:t>
        <w:br/>
        <w:br/>
        <w:t>Herr Clason hade nyss ett yrkande, som gick sin väg. Det gick ut på att bibehålla åtminstone en del av den gamla svenska lagens stränghet och allvar. Jag vill icke bestrida, att denna lags ståndpunkt är oss för sträng och allvarlig utan att för övrigt uttala något värdeomdöme om varken tiden eller lagen. Men detta synes mig vara att väl mycket hoppa från ett extrem till ett annat. »De, som hor med varandra gjort hava, må ej äktenskap bygga.» — Så lyder den gamla lagens allvarliga röst. Nu går man i det föreliggande förslaget till det andra extremet och säger: »Kan du bevisa, att du gjort hor, då får du genast gifta om dig, eljest icke.» Jag får därför, med någon anslutning till herr Geze- TR reservation, yrka, att lagparagrafen må erhålla följande ly-</w:t>
      </w:r>
    </w:p>
    <w:p>
      <w:pPr>
        <w:pStyle w:val="Heading2"/>
      </w:pPr>
      <w:r>
        <w:t>6. Frithiof Söderbergh (Liberala samlingspartiet, man)</w:t>
      </w:r>
    </w:p>
    <w:p>
      <w:r>
        <w:rPr>
          <w:b w:val="0"/>
        </w:rPr>
        <w:t>Beträffande innebörden av denna 11 $ behöver jag icke taga kammarens tid vidare i anspråk, särskilt efter det utredande anförande, som hållits av den förste ärade talaren. Jag skall därför endast be att få yrka bifall till Kungl. Maj:ts av utskottet tillstyrkta förslag oförändrat.</w:t>
        <w:br/>
        <w:br/>
        <w:t xml:space="preserve">Av de båda föregående ärade talarna har herr Gezelius »ur ordningssynpunkt» velat ha förbud för man och </w:t>
      </w:r>
      <w:r>
        <w:rPr>
          <w:b/>
        </w:rPr>
        <w:t>kvinna¹</w:t>
      </w:r>
      <w:r>
        <w:rPr>
          <w:b w:val="0"/>
        </w:rPr>
        <w:t>, som varit gifta, att träda i nytt gifte, innan tre månader förflutit från äktenskapets upplösning, och den andre reservanten, herr Valerius Olsson, vill ha ett sådant förbud utsträckt ända till sex månader. Såvitt jag kunnat uppfatta de ärade talarna, ha de icke på något sätt klargjort vad för slags tid det här skulle bli fråga om.</w:t>
        <w:br/>
        <w:br/>
        <w:t>Jag vill stryka under vad herr statsrådet och chefen för justitiedepartementet nyss anförde, att någon väntetid icke kan vara betingad av några som helst rättsliga skäl i de fall, varom här är fråga, och någon sorgetid är väl heller icke påkallad, då man väl får förmoda, att sorgen härvidlag torde vara ganska måttlig. Jag får erinra, att icke i något annat lands lagstiftning bestämmelser förekomma om sorgetid.</w:t>
        <w:br/>
        <w:br/>
        <w:t>Nej, herr talman! Jag tror icke, att lagstiftaren bör lägga sig i denna sak. Låt de enskilda kontrahenterna få handla i denna sak såsom deras samvete bjuder dem, då man icke rimligtvis kan säga, att de vare sig åstadkomma någon allmän förargelse eller störa allmän ordning.</w:t>
        <w:br/>
        <w:br/>
        <w:t>Herr talman! Jag ber att få yrka bifall till lagutskottets förslag utan något som helst tillägg.</w:t>
      </w:r>
    </w:p>
    <w:p>
      <w:pPr>
        <w:pStyle w:val="Heading2"/>
      </w:pPr>
      <w:r>
        <w:t>7. Nils Alexanderson (Liberala samlingspartiet, man)</w:t>
      </w:r>
    </w:p>
    <w:p>
      <w:r>
        <w:rPr>
          <w:b w:val="0"/>
        </w:rPr>
        <w:t xml:space="preserve">Jag vill fästa uppmärksamheten på, att stadgandet i 2 kap. 11 $ icke, såsom herrarna i kammaren i anledning av herr Thyréns anförande kunde tro, innehåller något av den beskaffenhet, som han yttrade, utan något helt annat. Det säges icke mera i den av honom åsyftade delen av paragrafen, än att om det är konstaterat, att </w:t>
      </w:r>
      <w:r>
        <w:rPr>
          <w:b/>
        </w:rPr>
        <w:t>kvinnan¹</w:t>
      </w:r>
      <w:r>
        <w:rPr>
          <w:b w:val="0"/>
        </w:rPr>
        <w:t xml:space="preserve"> icke de senaste tio månaderna från äktenskapets upplösning sammanlevt med sin man i det förra giftet, då behöver </w:t>
      </w:r>
      <w:r>
        <w:rPr>
          <w:b/>
        </w:rPr>
        <w:t>hon²</w:t>
      </w:r>
      <w:r>
        <w:rPr>
          <w:b w:val="0"/>
        </w:rPr>
        <w:t xml:space="preserve"> icke prestera någon särskild utredning rörande den frågan, huruvida </w:t>
      </w:r>
      <w:r>
        <w:rPr>
          <w:b/>
        </w:rPr>
        <w:t>hon²</w:t>
      </w:r>
      <w:r>
        <w:rPr>
          <w:b w:val="0"/>
        </w:rPr>
        <w:t xml:space="preserve"> är havande eller icke, för att få ingå det nya äktenskapet. Detta är något helt annat än vad herr Thyrén angav skulle utsägas i paragrafen. Jag ber att få yrka bifall till paragrafen.</w:t>
      </w:r>
    </w:p>
    <w:p>
      <w:pPr>
        <w:pStyle w:val="Heading2"/>
      </w:pPr>
      <w:r>
        <w:t>8. Theodor af Ekenstam (Lantmanna- och borgarepartiet inom andrakammaren, man)</w:t>
      </w:r>
    </w:p>
    <w:p>
      <w:r>
        <w:rPr>
          <w:b w:val="0"/>
        </w:rPr>
        <w:t>Den tydning, som nu herr Alexanderson framfört, har förefallit mig egendomlig. HNåvitt jag kan läsa</w:t>
        <w:br/>
        <w:br/>
        <w:t>tvivel har herr Thyrén fullkomligt rätt i sin uppfattning, att ett vidhållande av lagen, sådan den av utskottet här är gjord, verkligen är en sorts premiering, såsom herr Thyrén säger, av den, som begått horsbrott.</w:t>
        <w:br/>
        <w:br/>
        <w:t>Herr talman! Jag tillåter mig yrka bifall till den ändrade avfattning av paragrafen, som herr Thyrén föreslagit.</w:t>
      </w:r>
    </w:p>
    <w:p>
      <w:pPr>
        <w:pStyle w:val="Heading2"/>
      </w:pPr>
      <w:r>
        <w:t>9. Johan Thyren (Utan partibeteckning, man)</w:t>
      </w:r>
    </w:p>
    <w:p>
      <w:r>
        <w:rPr>
          <w:b w:val="0"/>
        </w:rPr>
        <w:t xml:space="preserve">Om det skulle vara meningen, att det här behöver bevisas blott sammanlevnadens upphörande och icke frånvaron av könsumgänge, så tror jag, att herrarna råka från ont i värre. Hur skulle herrarna presumera, om </w:t>
      </w:r>
      <w:r>
        <w:rPr>
          <w:b/>
        </w:rPr>
        <w:t>kvinnan¹</w:t>
      </w:r>
      <w:r>
        <w:rPr>
          <w:b w:val="0"/>
        </w:rPr>
        <w:t xml:space="preserve"> gifter om sig och om ett barn födes efter t. ex. tre månader? Då vet man icke, om det födes efter könsumgänge med den nye eller den förutvarande mannen; vem som är den, quem nuptiae demonstrant. Då först blir det en villervalla över alla gränser. Jag får säga, att det var min första uppfattning, att herrarna menat något sådant, eftersom ordet sammanlevnad uppenbarligen har den betydelsen längre fram i lagen. Men vid närmare övervägande ansåg jag mig, till heder för herrarnas sunda förstånd, böra antaga, att herrarna på detta ställe med sammanlevnad menade sammanlevnad inklusive könsumgänge. Jag vidhåller mitt yrkande.</w:t>
        <w:br/>
        <w:br/>
        <w:t>Är mannen dömd till skadestånd jämlikt 1 kap. 3 8 första stycket eller är stämning i sådant mål honom delgiven, må han ej utan Koirungens tillstånd ingå äktenskap med någon annan innan skadeståndet blivit guldet eller antaglig säkerhet därför ställd eller ock talan om skadestånd genom laga kraftvunnen dom ogillats.</w:t>
      </w:r>
    </w:p>
    <w:p>
      <w:pPr>
        <w:pStyle w:val="Heading2"/>
      </w:pPr>
      <w:r>
        <w:t>10. Theodor af Ekenstam (Lantmanna- och borgarepartiet inom andrakammaren, man)</w:t>
      </w:r>
    </w:p>
    <w:p>
      <w:r>
        <w:rPr>
          <w:b w:val="0"/>
        </w:rPr>
        <w:t xml:space="preserve">Under hänvisning till det beslut, som är fattat vid 1 kap. 3 8 om trolovad </w:t>
      </w:r>
      <w:r>
        <w:rPr>
          <w:b/>
        </w:rPr>
        <w:t>kvinnas¹</w:t>
      </w:r>
      <w:r>
        <w:rPr>
          <w:b w:val="0"/>
        </w:rPr>
        <w:t xml:space="preserve"> ersättningsrätt, därest trolovningen skulle brytas, tillåter jag mig föreslå, att här i andra kapitlet måtte inflyta en paragraf av följande lydelse: &gt;»Ar mannen dömd till skadestånd jämlikt 1 kap. 3 $&amp; första stycket eller är stämning i sådant mål honom delgiven, må han ej utan Konungens tillstånd ingå äktenskap med någon annan, innan skadeståndet blivit guldet eller antaglig säkerhet därför ställd eller ock talan om skadestånd genom laga kraftvunnen dom ogillats.» Det har nämligen synts mig och mina medreservanter klart, att har verkligen mannen fått en sådan skadeståndsplikt på sig, så skall han alldeles givet, innan han ingår en ny förbindelse av liknande art, visa, att han antingen erlagt detta skadestånd eller satt säkerhet för det, eller om det är pågående rättegång, så skall lysning icke få ske, förrän han genom laga dom blivit därifrån fri.</w:t>
        <w:br/>
        <w:br/>
        <w:t>Det är sålunda detta, herr talman, jag ber att få yrka bifall till.</w:t>
      </w:r>
    </w:p>
    <w:p>
      <w:pPr>
        <w:pStyle w:val="Heading2"/>
      </w:pPr>
      <w:r>
        <w:t>11. Berndt Hasselrot (–, man)</w:t>
      </w:r>
    </w:p>
    <w:p>
      <w:r>
        <w:rPr>
          <w:b w:val="0"/>
        </w:rPr>
        <w:t>Jag misslyckades i förra punkten och gör det kanske också vid denna paragraf, men jag skall dock med några få ord söka göra mitt bästa, för att så icke må ske.</w:t>
        <w:br/>
        <w:br/>
        <w:t>Här har av herr af Ekenstam ensam tillskapats en särskild paragraf, som lyder:</w:t>
        <w:br/>
        <w:br/>
        <w:t>&gt;År mannen dömd till skadestånd jämlikt 1 kap. 3 $ första stycket eller är stämning i sådant mål honom delgiven, må han ej utan Konungens tillstånd ingå äktenskap med någon annan innan skadeståndet blivit guldet eller antaglig säkerhet därför ställd eller ock talan om skadestånd genom laga kraftvunnen dom ogillats.&gt;</w:t>
        <w:br/>
        <w:br/>
        <w:t>Jag tror för min del, att det är omöjligt att stadga ett dylikt förbud. Jag antager nämligen, att konsekvensen förbjuder något sådant. Då den, som varit gift men blivit skild, får gifta om sig utan hinder därav, att han icke ställt säkerhet för det skadestånd eller det understöd, han förpliktats utgiva, så kan väl icke rimligen stadgas nu ifrågasatta skyldigheten i fråga om trolovad. Jag vill för övrigt anmärka, att det är mer än möjligt, att den, som dömts att betala ett skadestånd, icke är i stånd att utgiva vad som utdömts. Stadgandet skulle följaktligen verka som ett fattigstreck. Ja, detta i fråga om själva saken! Här kanske herrarna icke vilja följa mig, men sedan har jag en anmärkning i rent formellt hänseende. Paragrafen är, i sitt nuvarande skick helt enkelt omöjlig. Där stadgas nämligen, följande: »År mannen dömd till skadestånd, må han ej ingå äktenskap med någon annan, innan talan om skadestånd genom laga kraftvunnen dom ogillats.&gt; Jag föreställer mig, att denna lydelse icke kan gillas.</w:t>
      </w:r>
    </w:p>
    <w:p>
      <w:pPr>
        <w:pStyle w:val="Heading2"/>
      </w:pPr>
      <w:r>
        <w:t>12. Hugo Hamilton (Första kammarens nationella parti, man)</w:t>
      </w:r>
    </w:p>
    <w:p>
      <w:r>
        <w:rPr>
          <w:b w:val="0"/>
        </w:rPr>
        <w:t xml:space="preserve">Egentligen har jag, sedan jag begärde ordet, blivit nästan till alla delar förekommen av herr statsrådet och chefen för justitiedepartementet. Det är väl ändå icke tänkbart, att kammaren skall vilja acceptera ett förslag, som är så formulerat som detta. »Han får icke ingå äktenskap med någon annam, står det. Med vem skall han då ingå äktenskap? Jag har aldrig hört en så besynnerlig formulering. Sedan står det talat om, att vederbörande är förhindrad ingå äktenskap, om stämning i sådant mål är honom delgiven. Sålunda, om han är utsatt för ett rent utpressningsförsök, om en hänsynslös </w:t>
      </w:r>
      <w:r>
        <w:rPr>
          <w:b/>
        </w:rPr>
        <w:t>kvinna¹</w:t>
      </w:r>
      <w:r>
        <w:rPr>
          <w:b w:val="0"/>
        </w:rPr>
        <w:t xml:space="preserve"> vill pressa ut penningar av honom och kommer, då han är på väg till kyrkan, och delgiver honom en stämning, då får han icke gifta sig med en annan. Detta är väl dock alldeles orimligt.</w:t>
        <w:br/>
        <w:br/>
        <w:t>Det förnämsta motskälet har redan anförts av herr statsrådet, nämligen att det är alldeles uppenbart, att införandet av det här förhållandet såsom ett slags exekutionsmedel kommer att verka fullkomligt, såsom herr statsrådet yttrade, såsom ett fattigstreck. Den, som är förmögen och kan betala, honom generar detta icke alls, men den, som icke kan betala, är utestängd, om han icke får Konungens tillstånd. Det är bra besynnerligt att komma in till Konungen med en sådan fråga. Vad skall Konungen döma om? Skall han avgöra, om mannen har råd att betala eller icke? Det kan jag icke förstå.</w:t>
        <w:br/>
        <w:br/>
        <w:t>Herr talman! Jag ber få yrka avslag på reservationen.</w:t>
      </w:r>
    </w:p>
    <w:p>
      <w:pPr>
        <w:pStyle w:val="Heading2"/>
      </w:pPr>
      <w:r>
        <w:t>13. Nils Alexanderson (Liberala samlingspartiet, man)</w:t>
      </w:r>
    </w:p>
    <w:p>
      <w:r>
        <w:rPr>
          <w:b w:val="0"/>
        </w:rPr>
        <w:t>Jag föreställer mig, att den kritik, som från herr statsrådets och från greve Hamiltons sida framförts gent emot detta förslag, borde väga ganska tungt för kammarens avgörande av frågan. Jag ber att härtill ytterligare få foga ett par saker.</w:t>
        <w:br/>
        <w:br/>
        <w:t>För det första vill jag påpeka, att om kammaren tager detta stadgande, så tager kammaren det på fullkomligt rak arm, ty något tal om en sådan bestämmelse har det icke varit i lagutskottet, än mindre har något yrkande framställts vare sig under lagutskottets preliminära eller dess slutliga votering, utan det är ett hugskott som i reservationens form insatts på denna punkt vid reservationernas avlämnande efter skedd justering.</w:t>
        <w:br/>
        <w:br/>
        <w:t xml:space="preserve">Till de fel, som påvisats såväl i fråga om själva tanken som i tekniskt avseende vidlåda förslaget, finner jag för min del kunna läggas också några andra av allvarlig beskaffenhet. Det är icke nog med, att man skall använda det föreslagna hindret såsom exekutionsmedel i händelse av mannens önskan att ingå äktenskap med annan </w:t>
      </w:r>
      <w:r>
        <w:rPr>
          <w:b/>
        </w:rPr>
        <w:t>kvinna¹</w:t>
      </w:r>
      <w:r>
        <w:rPr>
          <w:b w:val="0"/>
        </w:rPr>
        <w:t xml:space="preserve">. Utan härtill kommer, att man härvid skulle alldeles särskilt premiera hans förra trolovade, medan däremot, om mannen är skyldig att utgiva underhåll eller skadestånd till sin frånskilda </w:t>
      </w:r>
      <w:r>
        <w:rPr>
          <w:b/>
        </w:rPr>
        <w:t>hustru²</w:t>
      </w:r>
      <w:r>
        <w:rPr>
          <w:b w:val="0"/>
        </w:rPr>
        <w:t xml:space="preserve">, så är </w:t>
      </w:r>
      <w:r>
        <w:rPr>
          <w:b/>
        </w:rPr>
        <w:t>hon²</w:t>
      </w:r>
      <w:r>
        <w:rPr>
          <w:b w:val="0"/>
        </w:rPr>
        <w:t xml:space="preserve"> icke på samma sätt säkerställd. Något skäl varför </w:t>
      </w:r>
      <w:r>
        <w:rPr>
          <w:b/>
        </w:rPr>
        <w:t>hon²</w:t>
      </w:r>
      <w:r>
        <w:rPr>
          <w:b w:val="0"/>
        </w:rPr>
        <w:t xml:space="preserve"> 1 detta hänseende skulle ställas sämre än mannens förra trolovade, torde vara svårt att finna.</w:t>
        <w:br/>
        <w:br/>
        <w:t>Nu förhåller det sig vidare så, att de äktenskapshinder, som eljest i detta kapitel av lagen äro uppställda, äro där lagtekniskt så angivna, att man refererar sig till det verkliga sakförhållandet: den, mot vilken de eller de faktiska förhållandena föreligga, är förhindrad att ingå äktenskap. I enlighet därmed borde naturligtvis förevarande hinder också angivas så, att den, som hättar för oguldet skadestånd, är förhindrad att ingå äktenskap, medan däremot frågan om i vilken ordning det skall klaras upp huruvida bindret i fråga i det särskilda fallet föreligger eller ej tillhör det följande kapitlet. Det finnes icke heller angivet vem det är, som skall granska den ifrågasatta säkerhetens antaglighet. Antingen är det lysningsförrättaren, respektive, om kravet göres gällande efter lysningen, vigselförrättaren; i så fall torde man ha ställt på dessa ett krav, som de icke äro särskilt ägnade att fylla, när man lämnar åt dem att granska, huruvida ställd pant eller borgen är tillfredsställande. Eller också är det meningen, att det skall vara genom domstolsförfarande som denna säkerhet skall granskas; då äger den av greve Hamilton framställda anmärkningen, att detta är ett sätt att premiera trakasserier, sin fulla giltighet. Den, som i sådant fall vill trakassera, bör passa på att delgiva stämningen så nära brölloppet som möjligt. Det är något helt annat med det jävsförfarande, som är stadgat i nuvarande lag, bland annat därför, att där föreskrives, att den jävande har att ställa borgen för den kostnad och skada, som äktenskapsjävet kan medföra. Pa grund av de i det nya lagförslaget förefintliga äktenskapshindrens natur har hela denna äktenskapsjävsprocedur gatt ut ur lagen. Här</w:t>
        <w:br/>
        <w:br/>
        <w:t>det existerade en sådan jävsprocedur, som nu icke finnes.</w:t>
        <w:br/>
        <w:br/>
        <w:t>Ur varje synpunkt, både ur saklig och ur teknisk, tillåter jag mig således hävda, att det nu framställda förslaget är omöjligt, och hemställer om avslag åt detsamma.</w:t>
      </w:r>
    </w:p>
    <w:p>
      <w:pPr>
        <w:pStyle w:val="Heading2"/>
      </w:pPr>
      <w:r>
        <w:t>14. Johan Thyren (Utan partibeteckning, man)</w:t>
      </w:r>
    </w:p>
    <w:p>
      <w:r>
        <w:rPr>
          <w:b w:val="0"/>
        </w:rPr>
        <w:t>Jag ber om ursäkt, om jag på denna punkt blir litet utförligare än vid de föregående, men jag tror, att det är av stor vikt att här en smula gå in på grunderna.</w:t>
        <w:br/>
        <w:br/>
        <w:t xml:space="preserve">Det har vid föregående tillfällen i dag som en huvudanmärkning mot förslaget uttalats, att det vidgade det s. k. rättsfaktum, förutsättningen för att verkan skulle inträda, så vitt, att det i själva verket därigenom lade en snara för </w:t>
      </w:r>
      <w:r>
        <w:rPr>
          <w:b/>
        </w:rPr>
        <w:t>kvinnan¹</w:t>
      </w:r>
      <w:r>
        <w:rPr>
          <w:b w:val="0"/>
        </w:rPr>
        <w:t xml:space="preserve">, i det </w:t>
      </w:r>
      <w:r>
        <w:rPr>
          <w:b/>
        </w:rPr>
        <w:t>hon²</w:t>
      </w:r>
      <w:r>
        <w:rPr>
          <w:b w:val="0"/>
        </w:rPr>
        <w:t xml:space="preserve"> förleddes att tro, att det hemliga äktenskapslöftet praktiskt betyder någonting mera än vad det i själva verket gör, då det nästan aldrig kommer att kunna, mot mannens nekande, bevisas. På denna punkt åter visar sig, att även den rättsverkan, som Kungl. Maj:t och utskottet ha tillmätt trolovning inklusive äktenskapslöfte, är av den mest illusoriska natur i världen. </w:t>
      </w:r>
      <w:r>
        <w:rPr>
          <w:b/>
        </w:rPr>
        <w:t>Kvinnan¹</w:t>
      </w:r>
      <w:r>
        <w:rPr>
          <w:b w:val="0"/>
        </w:rPr>
        <w:t xml:space="preserve"> har trolovat sig och blivit hävdad; vad giver lagen </w:t>
      </w:r>
      <w:r>
        <w:rPr>
          <w:b/>
        </w:rPr>
        <w:t>henne²</w:t>
      </w:r>
      <w:r>
        <w:rPr>
          <w:b w:val="0"/>
        </w:rPr>
        <w:t xml:space="preserve"> för skydd? Den ger </w:t>
      </w:r>
      <w:r>
        <w:rPr>
          <w:b/>
        </w:rPr>
        <w:t>henne²</w:t>
      </w:r>
      <w:r>
        <w:rPr>
          <w:b w:val="0"/>
        </w:rPr>
        <w:t xml:space="preserve"> två skydd, skadeståndstalan och strafftalan. Vad äro dessa värda? Ja, mina herrar, åtminstone den, som känner förhållandena på landsbygden och som vet, huru pass svårt det är att få utmätt t. ex. ett ådömt barnuppfostringsbidrag, torde kunna göra sig en grundad föreställning om vad detta skadestånd i realiteten kommer att betyda, sedan domstolen utdömt det. Det blir luft och ingenting annat. I de kretsar det här närmast är fråga om finns ingenting som kan utmätas, det blir alltså ingenting, endast besvär, kostnader och obehag för </w:t>
      </w:r>
      <w:r>
        <w:rPr>
          <w:b/>
        </w:rPr>
        <w:t>kvinnan¹</w:t>
      </w:r>
      <w:r>
        <w:rPr>
          <w:b w:val="0"/>
        </w:rPr>
        <w:t xml:space="preserve">. Nu svarar man: men Kungl. Maj:t och utskottet ha varit så förståndiga, att de ha något i reserv bakom denna civila rättsverkan, nämligen förändringen i strafflagens 22 kap. 8 8. Ja, de kunde ha haft det, om de varit något mer skandinaviska, än de varit här på denna punkt. Ty vi äga i den skandinaviska lagstiftningen en bestämmelse, som är verksam (förutsatt bevisning om löftet), och det är den norska strafflagens bestämmelse, att om en man har genom äktenskapslöfte förmått en </w:t>
      </w:r>
      <w:r>
        <w:rPr>
          <w:b/>
        </w:rPr>
        <w:t>kvinna¹</w:t>
      </w:r>
      <w:r>
        <w:rPr>
          <w:b w:val="0"/>
        </w:rPr>
        <w:t xml:space="preserve"> till könsumgänge och sedan utan tillräckligt skäl undandrager sig att fullborda detta genom äktenskap och låter detta dröjsmål gå utöver ett år efter det </w:t>
      </w:r>
      <w:r>
        <w:rPr>
          <w:b/>
        </w:rPr>
        <w:t>kvinnan¹</w:t>
      </w:r>
      <w:r>
        <w:rPr>
          <w:b w:val="0"/>
        </w:rPr>
        <w:t xml:space="preserve"> fått barn, då inträder straff. Detta är någonting, det är en realitet. Men den straffbestämmelse, som herrarna här ha i reserv för skadeståndsbestämmelsen, är någonting annat. Här heter det: &gt;Bedrager man </w:t>
      </w:r>
      <w:r>
        <w:rPr>
          <w:b/>
        </w:rPr>
        <w:t>kvinna¹</w:t>
      </w:r>
      <w:r>
        <w:rPr>
          <w:b w:val="0"/>
        </w:rPr>
        <w:t xml:space="preserve"> genom äktenskapslöfte till könsumgänge»... Vad vill detta säga? Jo, </w:t>
      </w:r>
      <w:r>
        <w:rPr>
          <w:b/>
        </w:rPr>
        <w:t>hon²</w:t>
      </w:r>
      <w:r>
        <w:rPr>
          <w:b w:val="0"/>
        </w:rPr>
        <w:t xml:space="preserve"> kommer och anklagar honom för att ha bedragit </w:t>
      </w:r>
      <w:r>
        <w:rPr>
          <w:b/>
        </w:rPr>
        <w:t>henne²</w:t>
      </w:r>
      <w:r>
        <w:rPr>
          <w:b w:val="0"/>
        </w:rPr>
        <w:t xml:space="preserve">. Han svarar: nej, det har jag visst icke! Det var mitt fulla allvar då, men sedan har jag ängrat mig! Hur i all världen skall det någonsin vara möjligt att överbevisa honom om att han har bedragit </w:t>
      </w:r>
      <w:r>
        <w:rPr>
          <w:b/>
        </w:rPr>
        <w:t>henne²</w:t>
      </w:r>
      <w:r>
        <w:rPr>
          <w:b w:val="0"/>
        </w:rPr>
        <w:t>? Hur skall man kunna gå in i hans subjektiva uppsåt och bevisa, att den gången gjorde han det</w:t>
        <w:br/>
        <w:br/>
        <w:t xml:space="preserve">på finurlighet för att locka </w:t>
      </w:r>
      <w:r>
        <w:rPr>
          <w:b/>
        </w:rPr>
        <w:t>henne²</w:t>
      </w:r>
      <w:r>
        <w:rPr>
          <w:b w:val="0"/>
        </w:rPr>
        <w:t xml:space="preserve"> till könsumgänge och sedan Lagförslag om svika sitt löfte? Det är fullkomligt omöjligt, såvida man icke äktenskaps rent tillfällighetsvis kan överbevisa honom om vetskap om äkten- Ttnka skapshinder eller dylikt. Även flere äktenskapslöften till olika m.m. </w:t>
      </w:r>
      <w:r>
        <w:rPr>
          <w:b/>
        </w:rPr>
        <w:t>kvinnor¹</w:t>
      </w:r>
      <w:r>
        <w:rPr>
          <w:b w:val="0"/>
        </w:rPr>
        <w:t xml:space="preserve"> bevisa ju ingenting, eftersom varje senare upphäver varje = (Forts.) föregående. Skulle han åter vara så pass hederlig, att han tillstår, att det var hans uppsåt att bedraga </w:t>
      </w:r>
      <w:r>
        <w:rPr>
          <w:b/>
        </w:rPr>
        <w:t>henne²</w:t>
      </w:r>
      <w:r>
        <w:rPr>
          <w:b w:val="0"/>
        </w:rPr>
        <w:t xml:space="preserve">, då skulle han sannerligen icke heller satt sitt uppsåt i verket. Den ifrågasatta straflagsförändringen är således — om jag för en gång får använda ett visserligen mycket »parlamentariskt&gt; men likväl föga rekommendabelt uttryck — den allra renaste »bluff&gt;. Jag drager av det anförda den slutsatsen, att om herrarna på motsatta sidan verkligen vilja skydda </w:t>
      </w:r>
      <w:r>
        <w:rPr>
          <w:b/>
        </w:rPr>
        <w:t>kvinnans¹</w:t>
      </w:r>
      <w:r>
        <w:rPr>
          <w:b w:val="0"/>
        </w:rPr>
        <w:t xml:space="preserve"> rätt — och det borde väl framför allt vara herrarnas sak, som i annat sammanhang så mycket tala därom — då ha herrarna skyldighet att finna ut någon annan utväg. Det går icke an att lämna </w:t>
      </w:r>
      <w:r>
        <w:rPr>
          <w:b/>
        </w:rPr>
        <w:t>kvinnan¹</w:t>
      </w:r>
      <w:r>
        <w:rPr>
          <w:b w:val="0"/>
        </w:rPr>
        <w:t xml:space="preserve"> så vind för våg, att ge </w:t>
      </w:r>
      <w:r>
        <w:rPr>
          <w:b/>
        </w:rPr>
        <w:t>henne²</w:t>
      </w:r>
      <w:r>
        <w:rPr>
          <w:b w:val="0"/>
        </w:rPr>
        <w:t xml:space="preserve"> en skadeståndstalan, som är rent spegelfäkteri, och en strafftalan, som är precis detsamma eller ännu värre. </w:t>
      </w:r>
      <w:r>
        <w:rPr>
          <w:b/>
        </w:rPr>
        <w:t>Hon²</w:t>
      </w:r>
      <w:r>
        <w:rPr>
          <w:b w:val="0"/>
        </w:rPr>
        <w:t xml:space="preserve"> har, såsom detta förslag är skrivet, absolut ingenting att få med undantag för det fall, att det är en förmögen man, som bevisligen trolovat sig med en </w:t>
      </w:r>
      <w:r>
        <w:rPr>
          <w:b/>
        </w:rPr>
        <w:t>kvinna¹</w:t>
      </w:r>
      <w:r>
        <w:rPr>
          <w:b w:val="0"/>
        </w:rPr>
        <w:t xml:space="preserve"> och hävdar </w:t>
      </w:r>
      <w:r>
        <w:rPr>
          <w:b/>
        </w:rPr>
        <w:t>henne²</w:t>
      </w:r>
      <w:r>
        <w:rPr>
          <w:b w:val="0"/>
        </w:rPr>
        <w:t xml:space="preserve"> och sedan bryter trolovningen. Det kan förekomma, men det är sannerligen icke den vanliga bilden av situationen. Nu ha herrarna även anmärkt på formen och sagt, att denna skulle göra paragrafen oantaglig. Jag får säga, att om herrarna äro så ömsinta om </w:t>
      </w:r>
      <w:r>
        <w:rPr>
          <w:b/>
        </w:rPr>
        <w:t>kvinnan¹</w:t>
      </w:r>
      <w:r>
        <w:rPr>
          <w:b w:val="0"/>
        </w:rPr>
        <w:t xml:space="preserve">, som herrarna eljest gett sig ut för att vara, skulle herrarna kanske icke så mycket fästa sig vid formen utan också se något till realiteten. För övrigt är jag icke alldeles övertygad om allvaret i dessa anmärkningar mot formen. Det står i denna föreslagna 12 $ följande: »Är mannen dömd till skadestånd jämlikt 1 kap. 3 8 första stycket eller är stämning i sådant mål honom delgiven, må han ej utan Konungens tillstånd ingå äktenskap med någon annan, innan skadeståndet blivit guldet eller antaglig säkerhet därför ställd eller ock talan om skadestånd genom laga kraftvunnen dom ogillats.» Och il kap. 3 8 första stycket heter det enligt Kungl. Maj:ts förslag: Har </w:t>
      </w:r>
      <w:r>
        <w:rPr>
          <w:b/>
        </w:rPr>
        <w:t>kvinnan¹</w:t>
      </w:r>
      <w:r>
        <w:rPr>
          <w:b w:val="0"/>
        </w:rPr>
        <w:t xml:space="preserve"> under trolovningstiden blivit hävdad av mannen; brytes likväl trolovningen, och bär mannen huvudsakligen skulden därtill, give han </w:t>
      </w:r>
      <w:r>
        <w:rPr>
          <w:b/>
        </w:rPr>
        <w:t>henne²</w:t>
      </w:r>
      <w:r>
        <w:rPr>
          <w:b w:val="0"/>
        </w:rPr>
        <w:t xml:space="preserve"> skäligt skadestånd.» Det är således icke som herr statsrådet sade, några betydelselösa ord, som herr statsrådet hoppade över, utan de äro av den beskaffenhet, att det varit på sin plats, att han tagit med dem. Endast genom att hoppa över dem kommer han till en skenbart obegriplig formulering. Herrarna kanske kunna skriva det vackrare, och det må vara herrarnas sak. Skönheten är smaksak, såvida icke en lags skönhet är dess tydlighet. Men vad tydligheten angår, vågar jag påstå, att ingen domare skall missförstå dessa ord. Jag tror sålunda att om man anser skyddet för </w:t>
      </w:r>
      <w:r>
        <w:rPr>
          <w:b/>
        </w:rPr>
        <w:t>kvinnan¹</w:t>
      </w:r>
      <w:r>
        <w:rPr>
          <w:b w:val="0"/>
        </w:rPr>
        <w:t xml:space="preserve"> böra</w:t>
        <w:br/>
        <w:br/>
        <w:t xml:space="preserve">tveka i valet mellan denna luftbild, detta spegelfäkteri, som förslaget i verkligheten är, och det verkliga skydd, som reservationen velat giva och giver </w:t>
      </w:r>
      <w:r>
        <w:rPr>
          <w:b/>
        </w:rPr>
        <w:t>kvinnan¹</w:t>
      </w:r>
      <w:r>
        <w:rPr>
          <w:b w:val="0"/>
        </w:rPr>
        <w:t>.</w:t>
        <w:br/>
        <w:br/>
        <w:t>Jag yrkar, herr talman, bifall till reservationen.</w:t>
      </w:r>
    </w:p>
    <w:p>
      <w:pPr>
        <w:pStyle w:val="Heading2"/>
      </w:pPr>
      <w:r>
        <w:t>15. Nils Alexanderson (Liberala samlingspartiet, man)</w:t>
      </w:r>
    </w:p>
    <w:p>
      <w:r>
        <w:rPr>
          <w:b w:val="0"/>
        </w:rPr>
        <w:t>Herr Thyrén yttrade, att om man icke godkände det förslag, som han nyss försvarade så con amore,</w:t>
        <w:br/>
        <w:br/>
        <w:t xml:space="preserve">borde man åtminstone hitta på något annat, — man borde giva anvisning på, huru skadeståndet skulle av </w:t>
      </w:r>
      <w:r>
        <w:rPr>
          <w:b/>
        </w:rPr>
        <w:t>kvinnan¹</w:t>
      </w:r>
      <w:r>
        <w:rPr>
          <w:b w:val="0"/>
        </w:rPr>
        <w:t xml:space="preserve"> kunna utvinnas. Ja, i själva verket förhåller det sig så — efter vad jag tror</w:t>
        <w:br/>
        <w:br/>
        <w:t xml:space="preserve">mig veta, — att lagberedningen har denna fråga under allvarligt övervägande och har avsett att bringa den till lösning i samband med ordnandet av de utom äktenskapet födda barnens rätt och de </w:t>
      </w:r>
      <w:r>
        <w:rPr>
          <w:b/>
        </w:rPr>
        <w:t>kvinnors¹</w:t>
      </w:r>
      <w:r>
        <w:rPr>
          <w:b w:val="0"/>
        </w:rPr>
        <w:t xml:space="preserve"> rätt över huvud taget, som tilldömmes barnuppfostringsbidrag. Därvid torde man komma att framgå på den väg, varpå man 1 utlandet i nutida rätt plägat tillgodose detta behov, nämligen att man genom införsel i: lön eller på liknande väg sörjer för att en sådan skadeståndsfordran blir gynnsammare ställd ifråga om exigebilitet, än den nu hos oss är gentemot män, vilkas tillgångar väsentligen utgöras av deras löpande inkomster. På den vägen skall det nog komma att ske en sådan komplettering i det hänseende, herr Thyrén önska. Men det framlagda förslaget låter sig icke försvaras endast därmed att det är en vacker tanke, som ligger bakom, låt vara att formen blivit förfelad.</w:t>
      </w:r>
    </w:p>
    <w:p>
      <w:pPr>
        <w:pStyle w:val="Heading2"/>
      </w:pPr>
      <w:r>
        <w:t>16. Berndt Hasselrot (–, man)</w:t>
      </w:r>
    </w:p>
    <w:p>
      <w:r>
        <w:rPr>
          <w:b w:val="0"/>
        </w:rPr>
        <w:t>Jag skulle kunna inskränka mig till att instämma i vad herr Alexanderson yttrade. Dock skall jag be att då herr Tyrén kanske icke uppfattade vad jag sade, ännu en gång få betona, att tanken må vara aldrig så vacker, men det kan icke gå an att i en lag göra sig skyldig till en sådan inkonsekvens som att stadga ett förbud för trolovad, som brutit sin trolovning, att ingå äktenskap, innan han ställt ifrågavarande säkerhet, under det att motsvarande skyldighet icke är stadgad för man, som varit gift men blivit skild och dömts att betala skadestånd eller underhåll. Denna inkonsekvens anser jag vara alldeles tillräcklig för att omöjliggöra ett antagande av detta lagförslag, och jag tror, att det är att befara, att om denna paragraf antages i det skick, som föreligger, vi finge bakslag från lagrådets sida.</w:t>
      </w:r>
    </w:p>
    <w:p>
      <w:pPr>
        <w:pStyle w:val="Heading2"/>
      </w:pPr>
      <w:r>
        <w:t>17. Karl Ekman (Första kammarens nationella parti, man)</w:t>
      </w:r>
    </w:p>
    <w:p>
      <w:r>
        <w:rPr>
          <w:b w:val="0"/>
        </w:rPr>
        <w:t xml:space="preserve">Detta är en av de allra viktigaste punkterna i det föreliggande förslaget. Denna punkt är avsedd att utgöra en ersättning för de ofullkomnade äktenskapen. Om vi tänka på, hur det nu är, så finna vi, att </w:t>
      </w:r>
      <w:r>
        <w:rPr>
          <w:b/>
        </w:rPr>
        <w:t>kvinnan¹</w:t>
      </w:r>
      <w:r>
        <w:rPr>
          <w:b w:val="0"/>
        </w:rPr>
        <w:t xml:space="preserve"> är mycket väl skyddad. </w:t>
      </w:r>
      <w:r>
        <w:rPr>
          <w:b/>
        </w:rPr>
        <w:t>Hon²</w:t>
      </w:r>
      <w:r>
        <w:rPr>
          <w:b w:val="0"/>
        </w:rPr>
        <w:t xml:space="preserve"> har nu i de ofullkomnade äktenskapen laggift </w:t>
      </w:r>
      <w:r>
        <w:rPr>
          <w:b/>
        </w:rPr>
        <w:t>hustrus²</w:t>
      </w:r>
      <w:r>
        <w:rPr>
          <w:b w:val="0"/>
        </w:rPr>
        <w:t xml:space="preserve"> rätt och giftorätt i mannens bo, men icke nog härmed, utan </w:t>
      </w:r>
      <w:r>
        <w:rPr>
          <w:b/>
        </w:rPr>
        <w:t>hon²</w:t>
      </w:r>
      <w:r>
        <w:rPr>
          <w:b w:val="0"/>
        </w:rPr>
        <w:t xml:space="preserve"> har också exekutionsrätt på det sättet, att om förhållandet brytes, och vederbörande erhålla skillnad, skall avvittring ske,</w:t>
        <w:br/>
        <w:br/>
        <w:t xml:space="preserve">innan mannen får gå i annat gifte. Det är precis samma tanke Lagförslag om som här går igen, nämligen att det ekonomiska rättsförhållandet don tege skall uppgöras, innan man får ingå en annan förbindelse med nya ”tpplösning ekonomiska förpliktelser. Enligt förslaget skall </w:t>
      </w:r>
      <w:r>
        <w:rPr>
          <w:b/>
        </w:rPr>
        <w:t>kvinnan¹</w:t>
      </w:r>
      <w:r>
        <w:rPr>
          <w:b w:val="0"/>
        </w:rPr>
        <w:t xml:space="preserve"> avspisas m.m. med ett skadestånd. Det är alltsammans. Då är väl det allra = (Forts) minsta, man kan fordra just detta, att den tvångsrätt, som nu</w:t>
        <w:br/>
        <w:br/>
        <w:t>ligger i avvittringen, ersättes med någon annan motsvarande, ty</w:t>
        <w:br/>
        <w:br/>
        <w:t xml:space="preserve">eljest blir </w:t>
      </w:r>
      <w:r>
        <w:rPr>
          <w:b/>
        </w:rPr>
        <w:t>kvinnans¹</w:t>
      </w:r>
      <w:r>
        <w:rPr>
          <w:b w:val="0"/>
        </w:rPr>
        <w:t xml:space="preserve"> skadeståndsfordran i de allra flesta fallen en</w:t>
        <w:br/>
        <w:br/>
        <w:t xml:space="preserve">Nu har herr statsrådet och chefen för justitiedepartementet invänt, att här skulle uppstå en inkonsekvens, ty om ett par äkta makar vinna skilsmässa, skulle man icke ha denna tvångsexekution till förfogande. Jo, beviljas skilsmässa mellan makar, så säger lagen uttryckligen, att då skall boet skiftas. Då äger </w:t>
      </w:r>
      <w:r>
        <w:rPr>
          <w:b/>
        </w:rPr>
        <w:t>kvinnan¹</w:t>
      </w:r>
      <w:r>
        <w:rPr>
          <w:b w:val="0"/>
        </w:rPr>
        <w:t xml:space="preserve"> genast att påkalla skifte av boet, därvid </w:t>
      </w:r>
      <w:r>
        <w:rPr>
          <w:b/>
        </w:rPr>
        <w:t>hon²</w:t>
      </w:r>
      <w:r>
        <w:rPr>
          <w:b w:val="0"/>
        </w:rPr>
        <w:t xml:space="preserve"> utfår sin andel i samma bo, därest </w:t>
      </w:r>
      <w:r>
        <w:rPr>
          <w:b/>
        </w:rPr>
        <w:t>hon²</w:t>
      </w:r>
      <w:r>
        <w:rPr>
          <w:b w:val="0"/>
        </w:rPr>
        <w:t xml:space="preserve"> äger sådan. Om </w:t>
      </w:r>
      <w:r>
        <w:rPr>
          <w:b/>
        </w:rPr>
        <w:t>hon²</w:t>
      </w:r>
      <w:r>
        <w:rPr>
          <w:b w:val="0"/>
        </w:rPr>
        <w:t xml:space="preserve"> nu dessutom äger skadeståndsfordran, är det alldeles tydligt, att den vid skiftet kommer att utgå, där så begäres. MBSåledes har </w:t>
      </w:r>
      <w:r>
        <w:rPr>
          <w:b/>
        </w:rPr>
        <w:t>kvinnan¹</w:t>
      </w:r>
      <w:r>
        <w:rPr>
          <w:b w:val="0"/>
        </w:rPr>
        <w:t xml:space="preserve"> där medel att tvinga fram ekonomisk uppgörelse. Varför man då skall motsätta sig vad vi föreslagit, kan jag icke förstå. Det är att kasta </w:t>
      </w:r>
      <w:r>
        <w:rPr>
          <w:b/>
        </w:rPr>
        <w:t>kvinnan¹</w:t>
      </w:r>
      <w:r>
        <w:rPr>
          <w:b w:val="0"/>
        </w:rPr>
        <w:t xml:space="preserve"> handlöst ut på gatan, om man avslår ett sådant stadgande som detta.</w:t>
        <w:br/>
        <w:br/>
        <w:t>Vidare gjordes den anmärkningen, att vårt förslag skulle omöjliggöra för mannen att inträda 1 nytt gifte, då han icke kunde betala skadeståndet. Men just för det fallet har av oss föreslagits, att kunglig dispens skulle kunna meddelas. Således finnes en utväg. Man kan icke skylla på att här skulle uppstå något verkligt hinder, som skulle omöjliggöra nytt gifte.</w:t>
        <w:br/>
        <w:br/>
        <w:t>Vad avfattningen av paragrafen beträffar, kan man icke göra några befogade anmärkningar däremot. Jag medger, att uttrycket någon annan, icke är den allra lyckligaste formulering, men jag vill påstå, att även i utskottets förslag förekomma - åtskilliga ställen stiliseringar, som man med fullt lika stort fog kan klandra, och så även i Kungl. Maj:ts förslag.</w:t>
        <w:br/>
        <w:br/>
        <w:t xml:space="preserve">Slutligen vill jag, med anledning av herr Alexandersons upplysning, att lagberedningen håller på att utarbeta eller har utarbetat ett förslag, som går ut på att tillförsäkra </w:t>
      </w:r>
      <w:r>
        <w:rPr>
          <w:b/>
        </w:rPr>
        <w:t>kvinnan¹</w:t>
      </w:r>
      <w:r>
        <w:rPr>
          <w:b w:val="0"/>
        </w:rPr>
        <w:t xml:space="preserve"> någon rätt i mannens bo eller lön säga, att ett sådant förslag givetvis hade bort åtfölja lagförslaget. Då så icke skett, visar det blott, att man icke fått denna lagstiftningsfråga utredd på sådant sätt, som hade bort ske, då man kommer till riksdagen och begär, att det skall godkännas. Men jag vill tillägga, att vad herr Alexanderson nyss talade om, visserligen är ägnat att göra denna para-</w:t>
        <w:br/>
        <w:br/>
        <w:t xml:space="preserve">raf bättre och mera effektiv, men icke på något sätt förringar nödvändigheten av att redan nu säkerställa </w:t>
      </w:r>
      <w:r>
        <w:rPr>
          <w:b/>
        </w:rPr>
        <w:t>kvinnans¹</w:t>
      </w:r>
      <w:r>
        <w:rPr>
          <w:b w:val="0"/>
        </w:rPr>
        <w:t xml:space="preserve"> rätt, innan mannen skall ha frihet att ikläda sig nya förpliktelser för en ny familj. Jag yrkar alltså bifall till paragrafen.</w:t>
        <w:br/>
        <w:br/>
        <w:t xml:space="preserve">att den väg, som här anvisats, är framkomlig. I motsats till den siste ärade talaren har jag icke kunnat annat än fullt övertygas om, att sådant förslaget är avfattat, är det omöjligt att antaga det. De konsekvenser i levande livet, vartill det skulle föra, synas mig uppenbarligen vara av den art, att de icke kunna få plats ens i sina huvuddrag i vår nya äktenskapslag. Vad är det man vill? Man vill skydda en </w:t>
      </w:r>
      <w:r>
        <w:rPr>
          <w:b/>
        </w:rPr>
        <w:t>kvinna¹</w:t>
      </w:r>
      <w:r>
        <w:rPr>
          <w:b w:val="0"/>
        </w:rPr>
        <w:t xml:space="preserve">, som ställt sig i sådan förbindelse, som här är fråga om, med en man, som saknar ekonomisk möjligbet att betala ett honom ålagt skadestånd. Ja, om man kommer ihåg detta, förfaller allt tal om vilken härlig ställning en dylik </w:t>
      </w:r>
      <w:r>
        <w:rPr>
          <w:b/>
        </w:rPr>
        <w:t>kvinna¹</w:t>
      </w:r>
      <w:r>
        <w:rPr>
          <w:b w:val="0"/>
        </w:rPr>
        <w:t xml:space="preserve"> enligt nu gällande lag har. </w:t>
      </w:r>
      <w:r>
        <w:rPr>
          <w:b/>
        </w:rPr>
        <w:t>Hon²</w:t>
      </w:r>
      <w:r>
        <w:rPr>
          <w:b w:val="0"/>
        </w:rPr>
        <w:t xml:space="preserve"> får giftorätt, där ingenting finnes att dela, </w:t>
      </w:r>
      <w:r>
        <w:rPr>
          <w:b/>
        </w:rPr>
        <w:t>hon²</w:t>
      </w:r>
      <w:r>
        <w:rPr>
          <w:b w:val="0"/>
        </w:rPr>
        <w:t xml:space="preserve"> får avvittring — ja den är snart gjord. Det är ingenting, man tagit bort från en </w:t>
      </w:r>
      <w:r>
        <w:rPr>
          <w:b/>
        </w:rPr>
        <w:t>kvinna¹</w:t>
      </w:r>
      <w:r>
        <w:rPr>
          <w:b w:val="0"/>
        </w:rPr>
        <w:t xml:space="preserve"> i denna ställning genom en ändring i den nuvarande lagen, och därför är det fullt ursäktligt, att man icke tillgriper en metod av nu föreslagen innebörd. Stadganden av ifrågavarande art höra till exekutionslagstiftningen och möjligen till förmånsrättsordningen. Vad blir följden, om man på detta område ställer </w:t>
      </w:r>
      <w:r>
        <w:rPr>
          <w:b/>
        </w:rPr>
        <w:t>kvinnan¹</w:t>
      </w:r>
      <w:r>
        <w:rPr>
          <w:b w:val="0"/>
        </w:rPr>
        <w:t xml:space="preserve"> i en sådan ställning med barnens underhåll i andra rummet? Är en sädan anordning möjlig? Vad blir för övrigt resultatet? Jag tillåter mig uttala den uppfattningen härom med hänsyn till riksdagens redan fattade beslut och jag kan icke tillbakahålla det intrycket, att om första kammaren antager det föreliggande förslaget, blir det icke ägnat att åstadkomma ett tillfredsställande resultat av det hela. Jag kan icke förena mig med dem, som yrkat bifall till herr af Ekenstams reservation, till vilken jag alltså måste yrka avslag.</w:t>
      </w:r>
    </w:p>
    <w:p>
      <w:pPr>
        <w:pStyle w:val="Heading2"/>
      </w:pPr>
      <w:r>
        <w:t>18. Johan Thyren (Utan partibeteckning, man)</w:t>
      </w:r>
    </w:p>
    <w:p>
      <w:r>
        <w:rPr>
          <w:b w:val="0"/>
        </w:rPr>
        <w:t xml:space="preserve">Det har anmärkts som en inkonsekvens, att icke ett motsvarande stadgande föreslagits beträffande frånskild </w:t>
      </w:r>
      <w:r>
        <w:rPr>
          <w:b/>
        </w:rPr>
        <w:t>hustru²</w:t>
      </w:r>
      <w:r>
        <w:rPr>
          <w:b w:val="0"/>
        </w:rPr>
        <w:t xml:space="preserve">. Emellertid må man väl erinra sig, att allaredan vid separation blivit stadgat, att boet skall skiftas, och så mycket mera vid skillnad. Det må väl vara någorlunda motsvarigt, att den frånskilda </w:t>
      </w:r>
      <w:r>
        <w:rPr>
          <w:b/>
        </w:rPr>
        <w:t>kvinnan¹</w:t>
      </w:r>
      <w:r>
        <w:rPr>
          <w:b w:val="0"/>
        </w:rPr>
        <w:t xml:space="preserve"> får utskifta sin andel av boet. </w:t>
      </w:r>
      <w:r>
        <w:rPr>
          <w:b/>
        </w:rPr>
        <w:t>Hon²</w:t>
      </w:r>
      <w:r>
        <w:rPr>
          <w:b w:val="0"/>
        </w:rPr>
        <w:t xml:space="preserve"> får kanske därutöver en särskild rätt till skadestånd enligt 6 kap. 20 $ och anse herrarna den punkten så viktig, att herrarna å sin sida vilja föreslå ett motsvarande stadgande, skall jag för min del icke motsätta mig detta. Men icke äro fallen parallella. Den ogifta och bedragna </w:t>
      </w:r>
      <w:r>
        <w:rPr>
          <w:b/>
        </w:rPr>
        <w:t>kvinnan¹</w:t>
      </w:r>
      <w:r>
        <w:rPr>
          <w:b w:val="0"/>
        </w:rPr>
        <w:t xml:space="preserve">, vilken står utan någon som helst reell säkerhet och utan något verkligt reellt anspråk på mannen — icke kan jag finna detta fall jämförligt med frånskild </w:t>
      </w:r>
      <w:r>
        <w:rPr>
          <w:b/>
        </w:rPr>
        <w:t>hustru²</w:t>
      </w:r>
      <w:r>
        <w:rPr>
          <w:b w:val="0"/>
        </w:rPr>
        <w:t>, som har rätt att få boet skiftat och sin andel utbruten.</w:t>
        <w:br/>
        <w:br/>
        <w:t>Vad herr Alexanderson sade om lagberedningen kan icke i detta fall på något sätt vara avgörande. Skola vi nu antaga en lag, som är otillfredsställande, därför att möjligen lagberedningen kommer med någon lapp? Jag säger som en av de föregående ärade talarna, att det hade varit skäl för lagberedningen att se till att vi på denna viktiga punkt hade nu haft någonting. Men då så icke är fallet, så är frågan för oss: skola vi besluta något,</w:t>
        <w:br/>
        <w:br/>
        <w:t xml:space="preserve">varigenom </w:t>
      </w:r>
      <w:r>
        <w:rPr>
          <w:b/>
        </w:rPr>
        <w:t>kvinnan¹</w:t>
      </w:r>
      <w:r>
        <w:rPr>
          <w:b w:val="0"/>
        </w:rPr>
        <w:t xml:space="preserve"> i verkligheten lämnas vind för våg, eller sko- Lagförslag om la vi göra, vad vi kunna för att </w:t>
      </w:r>
      <w:r>
        <w:rPr>
          <w:b/>
        </w:rPr>
        <w:t>hon²</w:t>
      </w:r>
      <w:r>
        <w:rPr>
          <w:b w:val="0"/>
        </w:rPr>
        <w:t xml:space="preserve"> skall få någon hållhake på äktenskaps mannen? Jag säger, att kunna herrarna föreslå nägon bättre foringående och mulering, skall jag gärna gå med på den, men jag håller på, att "PRE vi stå inför alternativet: antingen lämna </w:t>
      </w:r>
      <w:r>
        <w:rPr>
          <w:b/>
        </w:rPr>
        <w:t>henne²</w:t>
      </w:r>
      <w:r>
        <w:rPr>
          <w:b w:val="0"/>
        </w:rPr>
        <w:t xml:space="preserve"> utan något skydd = (Forts) som praktiskt betyder någonting, eller också förbjuda mannen att ingå äktenskap, innan havs förhållande till </w:t>
      </w:r>
      <w:r>
        <w:rPr>
          <w:b/>
        </w:rPr>
        <w:t>henne²</w:t>
      </w:r>
      <w:r>
        <w:rPr>
          <w:b w:val="0"/>
        </w:rPr>
        <w:t xml:space="preserve"> är klart.</w:t>
        <w:br/>
        <w:br/>
        <w:t xml:space="preserve">Herr Gezelius sade, att om mannen saknar tillgångar, är det lika illa, om man använder det ena som det andra sättet. Men de som haft med sådant att göra, veta nog, att sådant folk har tillgångar inom vissa gränser, då det gäller nägot för dem; då de dömas att betala böter t. ex., kunna de det, om de vilja. Står något på spel för dem, äro de i stånd att betala, men om det icke gäller något för dem, så betala de icke. Jag tänker t. ex. på en dräng på landet, som fallet kan vara tillämpligt på. Det gäller att ästadkomma ett belopp av ett eller annat hundratal kronor i skadestånd. Det kan han nog lätt spara ihop, om han verkligen vill. Om man däremot gör utmätning hos honom, kommer man aldrig någon väg. Den pression, som ligger i detta jäv, att han icke får gifta sig, tror jag är ganska stark. Om jag får lov att göra en utvikning, skall jag berätta ett fall, som jag själv upplevat. För många år sedan, då jag hade en konsultationsbyrå, fick jag ett besök av en person, som hade givit äktenskapslöfte åt eller varit förlovad med tre särskilda </w:t>
      </w:r>
      <w:r>
        <w:rPr>
          <w:b/>
        </w:rPr>
        <w:t>kvinnor¹</w:t>
      </w:r>
      <w:r>
        <w:rPr>
          <w:b w:val="0"/>
        </w:rPr>
        <w:t xml:space="preserve"> och hade barn med dem alla tre. Sedan hade han gift sig med en fjärde. Nu ville han konsultera mig angående barnens ställning. Jag såg på de papper han förelade mig, och det frapperade mig, att papperen angående uppgörelserna med de olika </w:t>
      </w:r>
      <w:r>
        <w:rPr>
          <w:b/>
        </w:rPr>
        <w:t>kvinnorna¹</w:t>
      </w:r>
      <w:r>
        <w:rPr>
          <w:b w:val="0"/>
        </w:rPr>
        <w:t xml:space="preserve"> voro försedda med samma datum, varför jag frågade honom, om han samtidigt haft förhållanden med alla tre. — Nej, så hade icke varit fallet. — Men hur kunde det då vara samma datum? — Jo, han hade icke brytt sig om att göra något, förrän han skulle gifta sig. Men då tyckte han, att det vore otrevligt, om någon av dem skulle komma och anmäla jäv, varför han föredrog att göra upp med dem alla. Detta är ett bland tusen fall. Det står för mig lat, att om man skall lyckas pressa ifrågavarande personer till att lämna skadestånd, så måste det vara någonting sådant som detta jäv, ty annars kommer man ingen väg.</w:t>
        <w:br/>
        <w:br/>
        <w:t xml:space="preserve">Då det icke är någon överdrift, vad herr Ekman sade, att man kastar </w:t>
      </w:r>
      <w:r>
        <w:rPr>
          <w:b/>
        </w:rPr>
        <w:t>kvinnan¹</w:t>
      </w:r>
      <w:r>
        <w:rPr>
          <w:b w:val="0"/>
        </w:rPr>
        <w:t xml:space="preserve"> på gatan, om man icke ger </w:t>
      </w:r>
      <w:r>
        <w:rPr>
          <w:b/>
        </w:rPr>
        <w:t>henne²</w:t>
      </w:r>
      <w:r>
        <w:rPr>
          <w:b w:val="0"/>
        </w:rPr>
        <w:t xml:space="preserve"> något reellt, som </w:t>
      </w:r>
      <w:r>
        <w:rPr>
          <w:b/>
        </w:rPr>
        <w:t>hon²</w:t>
      </w:r>
      <w:r>
        <w:rPr>
          <w:b w:val="0"/>
        </w:rPr>
        <w:t xml:space="preserve"> kan sätta emot mannen; då ingenting bättre nu lätt kan ernås, än vad som här föreslagits, och då de formella anmärkningarna — det måste jag säga rent ut — synas mig fullständigt betydelselösa, så yrkar jag, herr talman, fortfarande bifall till reservationen.</w:t>
      </w:r>
    </w:p>
    <w:p>
      <w:pPr>
        <w:pStyle w:val="Heading2"/>
      </w:pPr>
      <w:r>
        <w:t>19. Fredrik Holmquist (Liberala samlingspartiet, man)</w:t>
      </w:r>
    </w:p>
    <w:p>
      <w:r>
        <w:rPr>
          <w:b w:val="0"/>
        </w:rPr>
        <w:t>Här har redan emot det förslag, som av herr af Ekenstam gjorts, framförts så mänga rent formella betänkligheter, att det skulle förefalla åtminstone mig ytterst egendom-</w:t>
        <w:br/>
        <w:br/>
        <w:t xml:space="preserve">Herr af Ekenstam har förut yttrat, och det framgår jämväl av motiveringen till hans reservation, att han framkommit med detta förslag närmast såsom ett surrogat för de rättigheter, som de ofullkomnade äktenskapen hittills skänkt åt </w:t>
      </w:r>
      <w:r>
        <w:rPr>
          <w:b/>
        </w:rPr>
        <w:t>kvinnorna¹</w:t>
      </w:r>
      <w:r>
        <w:rPr>
          <w:b w:val="0"/>
        </w:rPr>
        <w:t xml:space="preserve">. Jag senterar mycket livligt den uppfattning, som i detta hänseende uttalats av herr af Ekenstam. Men då skall jag be att få fästa uppmärksamheten på, att under punkten C) är av särskilda reservanter framställt ett yrkande, »att riksdagen måtte hos Kungl. Maj:t anhålla, att Kungl. Maj:t ville. i sammanhang med behandlingen av frågan om reglering av de utom äktenskap födda barnens rättsliga ställning, låta verkställa utredning, på vilket sätt genom lagstiftningens försorg ej blott ekonomiskt skadestånd utan jämväl upprättelse i andra avseenden lämpligen må kunna beredas sådana barns </w:t>
      </w:r>
      <w:r>
        <w:rPr>
          <w:b/>
        </w:rPr>
        <w:t>mödrar²</w:t>
      </w:r>
      <w:r>
        <w:rPr>
          <w:b w:val="0"/>
        </w:rPr>
        <w:t>, särskilt i de fall, då hävdandet skett under trolovning eller under äktenskapslöfte, samt därefter för riksdagen framlägga de förslag, vartill utredningen må föranleda». Jag tror för min del, att de synpunkter, som beaktats i detta skrivelseförslag och som ju sammanfalla med de synpunkter, herrar af Ekenstam och 'Thyrén så livligt förfäktat, komma i ett bättre läge genom att efter en ytterligare utredning framställas i ett bättre formulerat förslag, om man bifaller nämnda skrivelseförslag, som sedermera kommer att här i kammaren behandlas.</w:t>
      </w:r>
    </w:p>
    <w:p>
      <w:pPr>
        <w:pStyle w:val="Heading2"/>
      </w:pPr>
      <w:r>
        <w:t>20. Theodor af Ekenstam (Lantmanna- och borgarepartiet inom andrakammaren, man)</w:t>
      </w:r>
    </w:p>
    <w:p>
      <w:r>
        <w:rPr>
          <w:b w:val="0"/>
        </w:rPr>
        <w:t>Det är ett rätt egendomligt påstående, som här framkommit, att det yrkande, som 1 reservationen gjorts, skulle ha framkommit alldeles obesett. Jag undrar, om över huvud taget de herrar, som sitta här i kammaren och icke tillhöra lagutskottet, ha sett någonting annat av utskottets utlåtande förrän de fått detta tryckta betänkande," och här står ju också denna reservation. Jag kan verkligen icke förstå, vad man kan ha att anmärka härvidlag. Man har gjort invändningar mot formuleringen. Nå, jag skall gärna medgiva, att formen kanske icke är den allra lyckligaste, som kan tänkas, men tro icke herrarna, att om första kammaren vill taga denna paragraf, som den är, det vid den kommande stora sammanjämkningen skall finnas möjligheter att även justera formen. Det har försports från andra kammaren, att man där har tagit icke blott Kungl. Maj:ts förslag med åtskilliga av de liberala reservationer, som finnas bifogade utlåtandet, utan också andra helt nya yrkanden. Jag tror icke, att det skulle vara utan skäl, om kammaren ville följa den reservation, som här avgivits.</w:t>
      </w:r>
    </w:p>
    <w:p>
      <w:pPr>
        <w:pStyle w:val="Heading2"/>
      </w:pPr>
      <w:r>
        <w:t>21. Nils Alexanderson (Liberala samlingspartiet, man)</w:t>
      </w:r>
    </w:p>
    <w:p>
      <w:r>
        <w:rPr>
          <w:b w:val="0"/>
        </w:rPr>
        <w:t>I anledning av herr af Ekenstams yttrande, att kammarens ledamöter hatt tillfälle att se denna reservation lika väl som utskottets betänkande i övrigt, så vill jag blott anmärka, att jag med mitt omnämnande av förhållandet avsåg att lämna kammaren del av den omständigheten, att utskottet icke har haft någon anledning att ventilera det förslag, som herr af Ekenstam m. fl. framfört i denna reservation. Då jag för min</w:t>
        <w:br/>
        <w:br/>
        <w:t>del är av den uppfattningen, att man här i kammaren anser, att Lagförslag om</w:t>
        <w:br/>
        <w:br/>
        <w:t>den undersökning och bearbetning av framkomna förslag, som gego onskepa.</w:t>
        <w:br/>
        <w:br/>
        <w:t>nom utskottsarbetet verkställes, verkligen innebär en viss garanti ”sniny</w:t>
        <w:br/>
        <w:br/>
        <w:t>för att riksdagen kommer till lyckliga beslut, så ansåg jag mig 'm m.</w:t>
        <w:br/>
        <w:br/>
        <w:t>böra omnämna detta förhållande. (Forts.) Herr Thyréns princip för lagstiftning, sådan den framträtt i</w:t>
        <w:br/>
        <w:br/>
        <w:t>hans sista anförande, har verkligen fyllt mig med förvåning. Det</w:t>
        <w:br/>
        <w:br/>
        <w:t>har anmärkts, att det är ett principlöst och ur alla möjliga syn-</w:t>
        <w:br/>
        <w:br/>
        <w:t>punkter olämpligt sätt att gå tillväga att på den väg, som i före-</w:t>
        <w:br/>
        <w:br/>
        <w:t>varande reservation är föreslaget, söka garantera möjlighet för</w:t>
        <w:br/>
        <w:br/>
      </w:r>
      <w:r>
        <w:rPr>
          <w:b/>
        </w:rPr>
        <w:t>kvinnan¹</w:t>
      </w:r>
      <w:r>
        <w:rPr>
          <w:b w:val="0"/>
        </w:rPr>
        <w:t xml:space="preserve"> att få ut skadeståndet; och det har vidare anmärkts, att</w:t>
        <w:br/>
        <w:br/>
        <w:t>denna fråga hör hemma i ett större och vidark sammanhang, där</w:t>
        <w:br/>
        <w:br/>
        <w:t>den kan med enhet och konsekvens och i enlighet med allmänt</w:t>
        <w:br/>
        <w:br/>
        <w:t>erkända exekutiva principer bliva löst. Då säger herr Thyrén:</w:t>
        <w:br/>
        <w:br/>
        <w:t>skola vi vänta till dess? Vi skola väl taga någonting med det-</w:t>
        <w:br/>
        <w:br/>
        <w:t>samma, så att vi icke behöva vänta i flera år. Detta är sätt att</w:t>
        <w:br/>
        <w:br/>
        <w:t>se, som man ofta hör framföras av otåliga lekmän inom riksdagen,</w:t>
        <w:br/>
        <w:br/>
        <w:t>och det är helt naturligt från deras synpunkt. Men från herr</w:t>
        <w:br/>
        <w:br/>
        <w:t>Thyréns sida hade jag icke väntat mig en sådan juridisk bar-</w:t>
      </w:r>
    </w:p>
    <w:p>
      <w:pPr>
        <w:pStyle w:val="Heading2"/>
      </w:pPr>
      <w:r>
        <w:t>22. Theodor af Ekenstam (Lantmanna- och borgarepartiet inom andrakammaren, man)</w:t>
      </w:r>
    </w:p>
    <w:p>
      <w:r>
        <w:rPr>
          <w:b w:val="0"/>
        </w:rPr>
        <w:t>Jag tillåter mig säga några ord till svar på vad herr Alexanderson yttrat. Han säger att denna fråga icke varit ventilerad inom utskottet. Jag vill påpeka, att denna reservation har framkommit på den grund, att åtskilliga i utskottet haft synnerligen stort intresse för de ofullkomnade äktenskapen och vad därmed sammanhänger. Då man icke såsom en motionär yrkar velat hålla på de gamla ofullkomnade äktenskapen, har man sökt få en form, som i någon mån skulle kunna i vissa fall giva en ersättning för dessa. Det är därför denna reservation har framkommit och att den form, i vilken reservationen framförts, icke förut varit känd för herr Alexanderson är ganska naturligt, då naturligtvis reservationer icke dryftas i utskottet.</w:t>
      </w:r>
    </w:p>
    <w:p>
      <w:pPr>
        <w:pStyle w:val="Heading2"/>
      </w:pPr>
      <w:r>
        <w:t>23. Johan Thyren (Utan partibeteckning, man)</w:t>
      </w:r>
    </w:p>
    <w:p>
      <w:r>
        <w:rPr>
          <w:b w:val="0"/>
        </w:rPr>
        <w:t xml:space="preserve">Herr Alexanderson anmärkte, att det vore en orimlighet att icke kunna visa tålamod, till dess det nya lagstiftningsarbetet blivit färdigt. Jag vill då göra såväl honom som kammarens övriga ledamöter uppmärksamma på att vad vi här skola besluta, om motståndarna till reservationen få sin vilja fram, vore att taga bort det skydd för </w:t>
      </w:r>
      <w:r>
        <w:rPr>
          <w:b/>
        </w:rPr>
        <w:t>kvinnan¹</w:t>
      </w:r>
      <w:r>
        <w:rPr>
          <w:b w:val="0"/>
        </w:rPr>
        <w:t xml:space="preserve">, som nu finnes i de ofullkom- DEE äktenskapen, och under mellantiden ge </w:t>
      </w:r>
      <w:r>
        <w:rPr>
          <w:b/>
        </w:rPr>
        <w:t>henne²</w:t>
      </w:r>
      <w:r>
        <w:rPr>
          <w:b w:val="0"/>
        </w:rPr>
        <w:t xml:space="preserve"> absolut intet i stället.</w:t>
        <w:br/>
        <w:br/>
        <w:t>Trolovad skall, där han är känd för fallandesot, förete läkarintyg att fallandesot, som härrör av övervägande i inre orsaker, icke kan hos honom påvisas, men eljest avgiva skriftlig försäkran på heder och samvete att han, såvitt honom är veterligt, icke är behäftad med fallandesot.</w:t>
        <w:br/>
        <w:br/>
        <w:t>Trolovad skall ock avgiva skriftlig försäkran på heder och samvete att han, så vitt honom är veterligt, icke lider av könssjukdom i smittosamt skede.</w:t>
      </w:r>
    </w:p>
    <w:p>
      <w:pPr>
        <w:pStyle w:val="Heading2"/>
      </w:pPr>
      <w:r>
        <w:t>24. Theodor af Ekenstam (Lantmanna- och borgarepartiet inom andrakammaren, man)</w:t>
      </w:r>
    </w:p>
    <w:p>
      <w:r>
        <w:rPr>
          <w:b w:val="0"/>
        </w:rPr>
        <w:t xml:space="preserve">Det har här i detta förslag till äktenskapslag införts en bestämmelse om att de trolovade skola avgiva en försäkran om, att de icke äro behäftade med könssjukdom i smittosamt skede. Jag kan icke neka till, att denna bestämmelse på detta mycket intima område är av beskaffenhet att väcka synnerligen allvarliga betänkligheter. Jag har icke vågat att reservera mig i så måtto, att jag skulle yrka på borttagande av hela momentet, men jag har icke kunnat stå till svars med att låta det stå kvar i hela dess omfattning. Jag har ansett, att en fordran, att våra unga fickor skulle avgiva en sådan försäkran, är i högsta grad motbjudande. Jag tror icke heller, att det svenska folket är så djupt sjunket och att den </w:t>
      </w:r>
      <w:r>
        <w:rPr>
          <w:b/>
        </w:rPr>
        <w:t>kvinnliga¹</w:t>
      </w:r>
      <w:r>
        <w:rPr>
          <w:b w:val="0"/>
        </w:rPr>
        <w:t xml:space="preserve"> delen därav verkligen i sådan grad har förlorat sin dygd, att de behöva avgiva en sådan förklaring. Denna övertygelse är icke blott och bart subjektiv, den kan också stödja sig på de statistiska siffror, som finnas tillgängliga och varom kanske under diskussionen närmare meddelanden komma att lämnas. Jag vill emellertid i korthet säga, att om man undantager de stora städerna Stockholm och Göteborg, är procenten av veneriskt smittade </w:t>
      </w:r>
      <w:r>
        <w:rPr>
          <w:b/>
        </w:rPr>
        <w:t>kvinnor¹</w:t>
      </w:r>
      <w:r>
        <w:rPr>
          <w:b w:val="0"/>
        </w:rPr>
        <w:t xml:space="preserve"> så ytterligt obetydlig, att, om man för den hundradels procent, som kanske förekommer i det övriga landet, skulle tvinga alla unga </w:t>
      </w:r>
      <w:r>
        <w:rPr>
          <w:b/>
        </w:rPr>
        <w:t>flickor²</w:t>
      </w:r>
      <w:r>
        <w:rPr>
          <w:b w:val="0"/>
        </w:rPr>
        <w:t xml:space="preserve"> att avgiva denna förklaring, vore det helt enkelt ett helgerån. Jag tror icke heller, att det svenska folket ute i bygderna skulle</w:t>
        <w:br/>
        <w:br/>
        <w:t>å något sätt tacka lagstiftarna för att de gjort detta. De skulle elt visst liksom jag anse, att det är att ställa sig på en krass materialistisk ständpankt. All den delikata finkänslighet, som i detta fall borde framträda, blåser man bort och tänker endast och allenast som en läkare på sina patienter, och man tager icke den minsta hänsyn till vad som rör sig på själslivets område. Jag anhåller därför, herr talman, att få yrka bifall till den av mig avgivna reservationen.</w:t>
      </w:r>
    </w:p>
    <w:p>
      <w:pPr>
        <w:pStyle w:val="Heading2"/>
      </w:pPr>
      <w:r>
        <w:t>25. Erik Trana (Utan partibeteckning, man)</w:t>
      </w:r>
    </w:p>
    <w:p>
      <w:r>
        <w:rPr>
          <w:b w:val="0"/>
        </w:rPr>
        <w:t>Jag delar de betänkligheter, som av herr at Ekenstam anförts i fråga om osmakligheterna i denna paragraf. Jag tror emellertid, att man, lika väl som på det sätt han har föreslagit, kan nå vad man önskar genom bifall till min reservation, och jag yrkar därför bifall till denna.</w:t>
      </w:r>
    </w:p>
    <w:p>
      <w:pPr>
        <w:pStyle w:val="Heading2"/>
      </w:pPr>
      <w:r>
        <w:t>26. Berndt Hasselrot (–, man)</w:t>
      </w:r>
    </w:p>
    <w:p>
      <w:r>
        <w:rPr>
          <w:b w:val="0"/>
        </w:rPr>
        <w:t xml:space="preserve">Herr talman, mina herrar! Jag förstår mer än väl de betänkligheter, som kunna uppresas emot ifrågavarande stadgande om skyldighet för </w:t>
      </w:r>
      <w:r>
        <w:rPr>
          <w:b/>
        </w:rPr>
        <w:t>kvinna¹</w:t>
      </w:r>
      <w:r>
        <w:rPr>
          <w:b w:val="0"/>
        </w:rPr>
        <w:t xml:space="preserve"> att avgiva försäkran av den innebörd, som här är föreslagen. Vad de högre klasserna angår, är också en sådan försäkran alldeles obehövlig. Vad som emellertid föranlett mig att framlägga förslaget i det skick, det nu äger, är solidaritetskänslan. Enligt vad den medicinska utredningen ger vid handen och vad för övrigt reglementeringskommitténs betänkande utvisar, är det nämligen ingalunda ovanligt, att inom de lägre klasserna könssjukdomar införas i familjerna genom </w:t>
      </w:r>
      <w:r>
        <w:rPr>
          <w:b/>
        </w:rPr>
        <w:t>kvinnorna¹</w:t>
      </w:r>
      <w:r>
        <w:rPr>
          <w:b w:val="0"/>
        </w:rPr>
        <w:t>. Här är således ett stadgande påkallat, såvida man icke skall äventyra effektiviteten av bestämmelsen om att könssjuka icke få ingå äktenskap. Och naturligtvis kan det icke ifrågakomma, att man meddelar olika bestämmelser för de olika klasserna i detta hänseende.</w:t>
        <w:br/>
        <w:br/>
        <w:t>Vad herr Tranas reservation angår, har ju från läkarhåll emot densamma anmärkts, att en sådan anordning, som han har förordnat, icke skulle vara effektiv. Det är nämligen i många fall svårt för läkaren att kunna konstatera, huruvida en könssjukdom är för handen.</w:t>
      </w:r>
    </w:p>
    <w:p>
      <w:pPr>
        <w:pStyle w:val="Heading2"/>
      </w:pPr>
      <w:r>
        <w:t>27. Charodotes Meurling (Första kammarens nationella parti, man)</w:t>
      </w:r>
    </w:p>
    <w:p>
      <w:r>
        <w:rPr>
          <w:b w:val="0"/>
        </w:rPr>
        <w:t>Herr talman! Att den här nämnda sjukdomen får stå som ett äktenskapshinder och som en anledning till återgång av äktenskapet är en god sak. Men en sådan bestämmelse har väl gällande kraft även utan en sådan självdeklaration, som här skulle stadgas. Det påstås ju, om jag hörde rätt, att till och med läkarna icke alltid kunna avgöra, om sjukdomen är i det stadium, som här åsyftas. Skall man då begära, att oerfaren ungdom skall avgöra den saken? Visserligen beter det i deras försäkran »såvida honom är veterligt», men man skall väl icke begära, att de unga skola avgiva en försäkran om sådant, som de icke med visshet veta sant vara. För övrigt går det väl an att stifta lagar, när man icke behöver taga någon befattning med tillämpningen av dem. Som väl är, är det nog på landsbygden så, som vi hörde den förste talaren yttra, att eländet där ej är sådant, att sådana föreskrifter skulle vara behövliga. Det finnes många, som icke ens ha kunskap om beskaffenheten av denna sjukdom. Skall man då vara tvungen att avfordra dem en sådan försäkran, som här föreslås, och det i bådas närvaro? I praktiken kommer nog tillämpningen av denna föreskrift att bliva antingen »jurare in verba magistri, och då är den ju värdelös, eller också för den relativt ofördärvade ungdomen ett obehagligt och pinsamt ämne att behöva röra i vid ett sådant tillfälle. Jag anser det därför icke behövligt, att de oskyldiga här skola behöva lida för de skyldiga, och jag skulle helst vilja yrka, att hela detta stycke måtte utgå, men jag skall i stället be att få ansluta mig till herr af Ekenstams reservation. :</w:t>
      </w:r>
    </w:p>
    <w:p>
      <w:pPr>
        <w:pStyle w:val="Heading2"/>
      </w:pPr>
      <w:r>
        <w:t>28. Karl Ekman (Första kammarens nationella parti, man)</w:t>
      </w:r>
    </w:p>
    <w:p>
      <w:r>
        <w:rPr>
          <w:b w:val="0"/>
        </w:rPr>
        <w:t>Jag instämmer fullkomligt i vad de föregående talare haft att anföra, som yttrat sig emot</w:t>
        <w:br/>
        <w:br/>
        <w:t xml:space="preserve">denna bestämmelse och särskilt mot att </w:t>
      </w:r>
      <w:r>
        <w:rPr>
          <w:b/>
        </w:rPr>
        <w:t>kvinnan¹</w:t>
      </w:r>
      <w:r>
        <w:rPr>
          <w:b w:val="0"/>
        </w:rPr>
        <w:t xml:space="preserve"> skall avgiva en Lagförslag om sådan försäkran. Jag vill pästå, att denna paragraf är en paragraf Hsenskape. för Stockholm men för landet i övrigt har mycket ringa betydelse. ”Mpösning |eglementeringskommittén yttrar om förekomsten av dessa sjuk- "mm. domar, att »i de skandinaviska länderna ha de smittosamma köns- = (Forts) sjukdomarna sin egentliga spridning i de stora städerna, särskilt</w:t>
        <w:br/>
        <w:br/>
        <w:t>sådana med utvecklad industri, handel och sjöfart. De mindre städerna ävensom landsbygden äro däremot jämförelsevis fria från</w:t>
        <w:br/>
        <w:br/>
        <w:t>dessa sjukdomar.» Vidare har reglementeringskommittén anfört en statistik ifrån åren 1822—1905. Den visar, att av de tre sjukdomar</w:t>
        <w:br/>
        <w:br/>
        <w:t>det här närmast är fråga om nämligen syfilis, enkelt veneriskt</w:t>
        <w:br/>
        <w:br/>
        <w:t>sår och dröppel på 10,000 invånare förekommo följande antal fall:</w:t>
        <w:br/>
        <w:br/>
        <w:t>i Stockholm respektive 15.0, 23.3, och 26.6; för Göteborg sjönko siffrorna till 9.9, 7.7, och 12.0 och för landet i övrigt 1.6, 0.4 och</w:t>
        <w:br/>
        <w:br/>
        <w:t>1.2. Det är således egentligen för Stockholm och möjligtvis även</w:t>
        <w:br/>
        <w:br/>
        <w:t>för Göteborg, som denna bestämmelse kan ha någon betydelse.</w:t>
        <w:br/>
        <w:br/>
        <w:t>Denna kommitte företog sig vidare, att anställa en enquéte bland landets läkare för att erhålla en överblick över sjukdomarnas utbredning i landet på en viss dag. Alla läkare anmodades att den</w:t>
        <w:br/>
        <w:br/>
        <w:t>31 januari 1905 inkomma med uppgift om de fall de hade under behandling, Den dagen behandlades i hela riket 4,189 fall. Kom-</w:t>
        <w:br/>
        <w:br/>
        <w:t>mitten har beräknat, hur stort antalet var på 10,000 invånare, så-</w:t>
        <w:br/>
        <w:br/>
        <w:t>ledes samma måttstock som förut. Då befanns det, att i Stock-</w:t>
        <w:br/>
        <w:br/>
        <w:t>holm antalet fall av syfilis var 17.86 och av dröppel 24.19. Motsvarande tal för riket med undantag av Stockholm och några andra</w:t>
        <w:br/>
        <w:br/>
        <w:t>städer voro 0.92 och 1.55. Föreliggande fråga är således i eminent</w:t>
        <w:br/>
        <w:br/>
        <w:t>grad en sak som rör de största städerna men rakt icke landet i</w:t>
        <w:br/>
        <w:br/>
        <w:t>övrigt. Herr Thyrén anförde, när det var tal om hans sedlighets-</w:t>
        <w:br/>
        <w:br/>
        <w:t>motion, att enligt uppgifter, som han förskaffat sig, ha smittotallen</w:t>
        <w:br/>
        <w:br/>
        <w:t>i Stockholm sedan år 1912 varit 1,600 å 1,700 per år. Då man</w:t>
        <w:br/>
        <w:br/>
        <w:t>ser på proportionen mellan förekomsten av dessa sjukdomar i Stock-</w:t>
        <w:br/>
        <w:br/>
        <w:t xml:space="preserve">holm och fnndet i övrigt, finner man, att i landet i övrigt måste förekomma jämförelsevis mycket få fall. Häribland är ju åtskilliga </w:t>
      </w:r>
      <w:r>
        <w:rPr>
          <w:b/>
        </w:rPr>
        <w:t>kvinnor¹</w:t>
      </w:r>
      <w:r>
        <w:rPr>
          <w:b w:val="0"/>
        </w:rPr>
        <w:t>, men hur många av dessa är det, som verkligen gifta sig?</w:t>
        <w:br/>
        <w:br/>
        <w:t>Det kanske är tre, fyra, fem stycken, och för dessa skall man nu</w:t>
        <w:br/>
        <w:br/>
        <w:t xml:space="preserve">tvinga alla våra unga </w:t>
      </w:r>
      <w:r>
        <w:rPr>
          <w:b/>
        </w:rPr>
        <w:t>kvinnor¹</w:t>
      </w:r>
      <w:r>
        <w:rPr>
          <w:b w:val="0"/>
        </w:rPr>
        <w:t xml:space="preserve"> landet runt att underkasta sig en</w:t>
        <w:br/>
        <w:br/>
        <w:t>så motbjudande och kränkande bestämmelse som den nu föreslagna.</w:t>
      </w:r>
    </w:p>
    <w:p>
      <w:pPr>
        <w:pStyle w:val="Heading2"/>
      </w:pPr>
      <w:r>
        <w:t>29. Frithiof Söderbergh (Liberala samlingspartiet, man)</w:t>
      </w:r>
    </w:p>
    <w:p>
      <w:r>
        <w:rPr>
          <w:b w:val="0"/>
        </w:rPr>
        <w:t xml:space="preserve">Den förste ärade talaren, herr af KEkenstam, fann det i högsta grad mothjudande, att icke allenast trolovad man utan också trolovad </w:t>
      </w:r>
      <w:r>
        <w:rPr>
          <w:b/>
        </w:rPr>
        <w:t>kvinna¹</w:t>
      </w:r>
      <w:r>
        <w:rPr>
          <w:b w:val="0"/>
        </w:rPr>
        <w:t xml:space="preserve"> skulle behöva avgiva en skriftlig försäkran, att </w:t>
      </w:r>
      <w:r>
        <w:rPr>
          <w:b/>
        </w:rPr>
        <w:t>hon²</w:t>
      </w:r>
      <w:r>
        <w:rPr>
          <w:b w:val="0"/>
        </w:rPr>
        <w:t xml:space="preserve"> icke, såvida </w:t>
      </w:r>
      <w:r>
        <w:rPr>
          <w:b/>
        </w:rPr>
        <w:t>henne²</w:t>
      </w:r>
      <w:r>
        <w:rPr>
          <w:b w:val="0"/>
        </w:rPr>
        <w:t xml:space="preserve"> vore veterligt, led av könssjukdom i smittosamt skede. Att vid första påseende av vad här är påbjudet mången kan känna sig tveksam, torde icke förvåna någon. Men då man nu efter den omfattande och djupgående utredning, som blivit förebragt angående denna sak, enat sig om att uppställa könssjukdom i smittosamt skede som äktenskapshinder, så måste man väl skapa en garanti för att icke äktenskap ingås i strid mot det hinder, som sälnnda blivit uppställt.</w:t>
        <w:br/>
        <w:br/>
        <w:t>lovade kräva en skriftlig, på heder och samvete avgiven försäkran om frihet från sådan sjukdom i smittosamt skede. Någon annan och lämpligare utväg har icke stått till buds.</w:t>
        <w:br/>
        <w:br/>
        <w:t xml:space="preserve">Härom yttrar nu lagberedningen bland annat: »En och annan, särskilt bland </w:t>
      </w:r>
      <w:r>
        <w:rPr>
          <w:b/>
        </w:rPr>
        <w:t>kvinnorna¹</w:t>
      </w:r>
      <w:r>
        <w:rPr>
          <w:b w:val="0"/>
        </w:rPr>
        <w:t xml:space="preserve">, torde nog finna det stötande att nödgas vid begäran om lysning uttala sig om sitt hälsotillstånd i sexuellt avseende. I den mån det bliver sed att ungdomen upplyses om de frestelser och faror, som inom könslivets område kunna möta, skall dock försäkringens avgivande falla sig allt naturligare. I medvetande om det allvarliga samhällsonda, saken gäller, skola för visso de blivande </w:t>
      </w:r>
      <w:r>
        <w:rPr>
          <w:b/>
        </w:rPr>
        <w:t>hustrurna²</w:t>
      </w:r>
      <w:r>
        <w:rPr>
          <w:b w:val="0"/>
        </w:rPr>
        <w:t xml:space="preserve"> och </w:t>
      </w:r>
      <w:r>
        <w:rPr>
          <w:b/>
        </w:rPr>
        <w:t>mödrarna²</w:t>
      </w:r>
      <w:r>
        <w:rPr>
          <w:b w:val="0"/>
        </w:rPr>
        <w:t xml:space="preserve"> villigt underkasta sig det personliga obehag försäkrandet kan medföra.» Häri torde envar med tillförsikt kunna instämma.</w:t>
        <w:br/>
        <w:br/>
        <w:t>Nu är vidare att märka, att de skriftliga uttalanden, som här i andra paragrafen finnas angivna om fallandesot, könssjukdom, släktskap, svågerskap och tidigare gifte, allesamman skola uppföras på en och samma handling. Det skall bliva ett tryckt formulär, som kommer till användning, och var och en av kontrahenterna skall ha att skriva under utan att behöva avgiva någon slags muntlig försäkran vid förrättningstillfället. Därigenom får man väl anse, att mycket förgår, av som eljest skulle kunna anses innebära en sårande hänsynslöshet.</w:t>
        <w:br/>
        <w:br/>
        <w:t xml:space="preserve">Att nu befria den </w:t>
      </w:r>
      <w:r>
        <w:rPr>
          <w:b/>
        </w:rPr>
        <w:t>kvinnliga¹</w:t>
      </w:r>
      <w:r>
        <w:rPr>
          <w:b w:val="0"/>
        </w:rPr>
        <w:t xml:space="preserve"> kontrahenten från skyldigheten att avgiva denna försäkran måste väcka åtskilliga betänkligheter. Den närmast föregående ärade talaren åberopade reglementeringskommittén, och det skall även jag göra på en punkt. Denna kommitté har framhållit i sitt betänkande med avseende på sådana fall, då smitta införes i äktenskapet, att under det att det i de högre samhällsklasserna i regel är mannen, som infekterar </w:t>
      </w:r>
      <w:r>
        <w:rPr>
          <w:b/>
        </w:rPr>
        <w:t>hustrun²</w:t>
      </w:r>
      <w:r>
        <w:rPr>
          <w:b w:val="0"/>
        </w:rPr>
        <w:t xml:space="preserve">, ett motsatt förhållande äger rum i de bredare samhällslagren. Där är det även ofta </w:t>
      </w:r>
      <w:r>
        <w:rPr>
          <w:b/>
        </w:rPr>
        <w:t>hustrun²</w:t>
      </w:r>
      <w:r>
        <w:rPr>
          <w:b w:val="0"/>
        </w:rPr>
        <w:t>, som för sjukdomen med sig in i äktenskapet. En annan beaktansvärd synpunkt har särskilt från prästerligt håll framhållits inom utskottet. Om försäkran angående könssjukdom skulle avgivas allenast av mannen, så bleve därav en naturlig följd, att olika formulär måste användas av de olika kontrahenterna, och just detta skulle otvivelaktigt föranleda, att bådaderas uppmärksamhet i alldeles särskild grad komme att fästas på ifrågavarande förhållande, vilket väl ej kan anses vara särdeles önskligt.</w:t>
        <w:br/>
        <w:br/>
        <w:t xml:space="preserve">Hur man än ser saken, så synas de skäl, som påkalla ett stadgande angående försäkran om frihet från könssjukdom i smittosamt skede göra sig lika gällande beträffande </w:t>
      </w:r>
      <w:r>
        <w:rPr>
          <w:b/>
        </w:rPr>
        <w:t>kvinnan¹</w:t>
      </w:r>
      <w:r>
        <w:rPr>
          <w:b w:val="0"/>
        </w:rPr>
        <w:t xml:space="preserve"> som mannen; och därför, herr talman, får jag yrka bifall till utskottets förslag i denna punkt.</w:t>
      </w:r>
    </w:p>
    <w:p>
      <w:pPr>
        <w:pStyle w:val="Heading2"/>
      </w:pPr>
      <w:r>
        <w:t>30. Ernst Trygger (Högerns riksdagsgrupp, man)</w:t>
      </w:r>
    </w:p>
    <w:p>
      <w:r>
        <w:rPr>
          <w:b w:val="0"/>
        </w:rPr>
        <w:t>Jag vill ingalunda försöka övertyga någon, ty jag är fullkomligt viss, att i denna delikata fråga var och en har sin mening förut. Jag vill endast till protokollet uttala, hur</w:t>
        <w:br/>
        <w:br/>
        <w:t xml:space="preserve">jag känner det i avseende på förslaget. Jag tror, att hela denna Lagförslag om estämmelse är tämligen värdelös både med avseende på mannen ,äklenskapa. och med avseende på </w:t>
      </w:r>
      <w:r>
        <w:rPr>
          <w:b/>
        </w:rPr>
        <w:t>kvinnan¹</w:t>
      </w:r>
      <w:r>
        <w:rPr>
          <w:b w:val="0"/>
        </w:rPr>
        <w:t xml:space="preserve">, jag kan dock vara med därom i ”plösning avseende på mannen, men absolut icke med avseende på </w:t>
      </w:r>
      <w:r>
        <w:rPr>
          <w:b/>
        </w:rPr>
        <w:t>kvinnan¹</w:t>
      </w:r>
      <w:r>
        <w:rPr>
          <w:b w:val="0"/>
        </w:rPr>
        <w:t xml:space="preserve">, m.m. ty enligt min åsikt bör man, när man lagstiftar, taga hänsyn till (Forts) seden hos ett folk, till den uppfattning, som rör sig hos folket, och det är väl alldeles otvivelaktigt, att i denna fråga den allmänna uppfattningen är den, att man gör en alldeles bestämd skillnad mellan mannen och </w:t>
      </w:r>
      <w:r>
        <w:rPr>
          <w:b/>
        </w:rPr>
        <w:t>kvinnan¹</w:t>
      </w:r>
      <w:r>
        <w:rPr>
          <w:b w:val="0"/>
        </w:rPr>
        <w:t xml:space="preserve">. Detta må vara rätt eller orätt, men det är dock ett faktum, och jag för min del anser, att det är ett lyckligt faktum. Man ursäktar åtskilligt, när det är en man, som gjort sig skyldig därtill, men man gör det icke med avseende på en </w:t>
      </w:r>
      <w:r>
        <w:rPr>
          <w:b/>
        </w:rPr>
        <w:t>kvinna¹</w:t>
      </w:r>
      <w:r>
        <w:rPr>
          <w:b w:val="0"/>
        </w:rPr>
        <w:t xml:space="preserve">. Och </w:t>
      </w:r>
      <w:r>
        <w:rPr>
          <w:b/>
        </w:rPr>
        <w:t>kvinnorna¹</w:t>
      </w:r>
      <w:r>
        <w:rPr>
          <w:b w:val="0"/>
        </w:rPr>
        <w:t xml:space="preserve"> hava också i allmänhet uppfört sig så, att det är fullt berättigat, att man ställer dem mycket högre i detta avseende än männen. Att, därför att åtskilliga lösaktiga </w:t>
      </w:r>
      <w:r>
        <w:rPr>
          <w:b/>
        </w:rPr>
        <w:t>kvinnor¹</w:t>
      </w:r>
      <w:r>
        <w:rPr>
          <w:b w:val="0"/>
        </w:rPr>
        <w:t xml:space="preserve"> äro smittade, för våra </w:t>
      </w:r>
      <w:r>
        <w:rPr>
          <w:b/>
        </w:rPr>
        <w:t>kvinnor¹</w:t>
      </w:r>
      <w:r>
        <w:rPr>
          <w:b w:val="0"/>
        </w:rPr>
        <w:t xml:space="preserve"> i allmänhet komma och fordra en så kränkande förklaring, som detta förslag innebär, det är något, som jag för min del icke kan vara med om. Ja, det bär mig så mycket emot att rösta för ett sådant förslag, att det icke varit någonting för mig så motbjudande under min riksdagstid, som det skulle vara att rösta för denna lagbestämmelse. Men jag erkänner, att detta är min rent individuella uppfattning, som jag dock velat konstatera till protokollet. Jag vet, att var och en här har sin åsikt bestämd redan från början, ty här är icke fråga om några bindande skäl, utan huru var och en känner det. Jag yrkar bifall till herr af Ekenstams reservation.</w:t>
      </w:r>
    </w:p>
    <w:p>
      <w:pPr>
        <w:pStyle w:val="Heading2"/>
      </w:pPr>
      <w:r>
        <w:t>31. Halfred von Koch (–, man)</w:t>
      </w:r>
    </w:p>
    <w:p>
      <w:r>
        <w:rPr>
          <w:b w:val="0"/>
        </w:rPr>
        <w:t xml:space="preserve">Då det förut under denna debatt antytts, att det vore lämpligt att påminna om vad </w:t>
      </w:r>
      <w:r>
        <w:rPr>
          <w:b/>
        </w:rPr>
        <w:t>kvinnorna¹</w:t>
      </w:r>
      <w:r>
        <w:rPr>
          <w:b w:val="0"/>
        </w:rPr>
        <w:t xml:space="preserve"> i allmänhet hysa för åsikt i denna fråga, skall jag tillåta mig meddela, att en mycket representativ samling </w:t>
      </w:r>
      <w:r>
        <w:rPr>
          <w:b/>
        </w:rPr>
        <w:t>kvinnor¹</w:t>
      </w:r>
      <w:r>
        <w:rPr>
          <w:b w:val="0"/>
        </w:rPr>
        <w:t xml:space="preserve"> i en skrivelse till lagutskottet, i den nu föreliggande frågan yttra följande: »Vi instämma i vad i det kungliga förslaget stadgas beträffande skyldighet för </w:t>
      </w:r>
      <w:r>
        <w:rPr>
          <w:b/>
        </w:rPr>
        <w:t>kvinna¹</w:t>
      </w:r>
      <w:r>
        <w:rPr>
          <w:b w:val="0"/>
        </w:rPr>
        <w:t xml:space="preserve"> såväl som man, att för erhållande av lysning avgiva skriftlig försäkran på heder och samvete att såvitt veterligt icke lida av könssjukdom i smittosamt skede. Vi kunna således icke dela herr Ekmans uppfattning i hans motion (n:r 68 i I kam.), att det skulle vara någon kränkning för </w:t>
      </w:r>
      <w:r>
        <w:rPr>
          <w:b/>
        </w:rPr>
        <w:t>kvinnan¹</w:t>
      </w:r>
      <w:r>
        <w:rPr>
          <w:b w:val="0"/>
        </w:rPr>
        <w:t xml:space="preserve"> att avgiva en dylik förklaring. Man bör förutsätta att en </w:t>
      </w:r>
      <w:r>
        <w:rPr>
          <w:b/>
        </w:rPr>
        <w:t>kvinna¹</w:t>
      </w:r>
      <w:r>
        <w:rPr>
          <w:b w:val="0"/>
        </w:rPr>
        <w:t xml:space="preserve">, som ingår äktenskap, skall vara så mogen, att </w:t>
      </w:r>
      <w:r>
        <w:rPr>
          <w:b/>
        </w:rPr>
        <w:t>hon²</w:t>
      </w:r>
      <w:r>
        <w:rPr>
          <w:b w:val="0"/>
        </w:rPr>
        <w:t xml:space="preserve"> förstår, att denna bestämmelse tillkommit i samhällets intresse.»</w:t>
        <w:br/>
        <w:br/>
        <w:t>Jag tillåter mig vädja till herrarna, om icke en sådan uppfattning är präglad av mycket stor ansvarskänsla mot det kommande släktet.</w:t>
        <w:br/>
        <w:br/>
        <w:t>En var av de trolovade skall avgiva skriftlig försäkran på heder och samvete att, så vitt honom är veterligt, de ej äro så besläktade eller besvågrade, som i 2 kap. 7 eller 9 $ sägs. och, där ej till äktenskapet visas tillstånd jämlikt 2 kap. 8 $, att ej heller sådan släktskap, som där avses, honom veterligen föreligger.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