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1313</w:t>
      </w:r>
    </w:p>
    <w:p>
      <w:r>
        <w:rPr>
          <w:b/>
        </w:rPr>
        <w:t xml:space="preserve">Datum: </w:t>
      </w:r>
      <w:r>
        <w:t>1915-05-21</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Persson (Socialdemokraterna, man)</w:t>
      </w:r>
    </w:p>
    <w:p>
      <w:r>
        <w:rPr>
          <w:b w:val="0"/>
        </w:rPr>
        <w:t xml:space="preserve">Herr talman! Jag har gått med på utskottets förslag och detta av det skälet, att om jag bifallit motionen hade jag kanske medverkat till att en supig karls avlöning icke skulle få utmätas, men att däremot utmätningsmanner skulle kunna få gå till hans arbetsamma </w:t>
      </w:r>
      <w:r>
        <w:rPr>
          <w:b/>
        </w:rPr>
        <w:t>hustru²</w:t>
      </w:r>
      <w:r>
        <w:rPr>
          <w:b w:val="0"/>
        </w:rPr>
        <w:t xml:space="preserve"> och taga i mät </w:t>
      </w:r>
      <w:r>
        <w:rPr>
          <w:b/>
        </w:rPr>
        <w:t>hennes²</w:t>
      </w:r>
      <w:r>
        <w:rPr>
          <w:b w:val="0"/>
        </w:rPr>
        <w:t xml:space="preserve"> symaskin i hemmet. Det är klart att i valet mellan dessa tvenne eventualiteter jag icke kunnat annat än gå på avslag å motionen i fråga. Visserligen säger den ärade motionären, att han ingalunda med sitt förslag till ändring avsett sådant som utskylder, barnuppfostringshjälp, men fastän detta icke är utskrivet, ligger det dock i alla fall i förslaget. Det ena följer med det andra, därest man skall göra en sådan ändring, som den motionären för sitt vidkommande synes påkalla, även om han icke skrivit det eller möjligen icke ens kommit att tänka därpå.</w:t>
        <w:br/>
        <w:br/>
        <w:t>I övrigt skall jag, för att arbetet må påskyndas, herr talman, icke ingå på någon längre utredning av förevarande spörsmål, Fran jag tillåter mig att kort och gott yrka bifall till utskottets förslag.</w:t>
      </w:r>
    </w:p>
    <w:p>
      <w:pPr>
        <w:pStyle w:val="Heading2"/>
      </w:pPr>
      <w:r>
        <w:t>2. Carl Lindhagen (Socialdemokraterna, man)</w:t>
      </w:r>
    </w:p>
    <w:p>
      <w:r>
        <w:rPr>
          <w:b w:val="0"/>
        </w:rPr>
        <w:t>Jag hade verkligen trott, herr talman, att detta var en motion som vi litet var kunde bli eniga om, och jag blev överraskad då jag fann mig stå ensam i utskottet för motionen.</w:t>
        <w:br/>
        <w:br/>
        <w:t xml:space="preserve">Nu har den senaste talaren som skäl för avslag anfört, att motionen omfattar fall, som icke skulle vara att rekommendera, t. ex. att då man icke kunde utmäta en supig mans avlöning, man istället skulle kunna utmäta </w:t>
      </w:r>
      <w:r>
        <w:rPr>
          <w:b/>
        </w:rPr>
        <w:t>hustruns²</w:t>
      </w:r>
      <w:r>
        <w:rPr>
          <w:b w:val="0"/>
        </w:rPr>
        <w:t xml:space="preserve"> symaskin. Det kunna väl herrarna dock förstå, att när en motionär gör ett sådant yrkande som det här förekommande, det är en allmän princip han vill göra gällande. $Sedan får lagstiftningen komma och göra de undantag och kontrollåtgärder samt vidtaga de försiktighetsmått som fordras. Herr Persson i Norrköping vet själv, att vi i lagutskottet alltid göra på det sättet. Vi modifiera ofta i våra betänkande åtskilligt som framkommer i motioner och lagförslag. Det är för mycket att begära, att motionären skall kunna lotsa sig fram genom alla juridiska bränningar, det kan sällan ens lagutskottet göra; det skrives ju merendels till Kungl. Maj:t för att få den och den saken utredd. Men för att man kan leta ut ett och annat fall, där man icke längre kan taga</w:t>
        <w:br/>
        <w:br/>
        <w:t>motionären på orden, icke faller väl därmed den viktiga princip, som motionären genom sitt förslag velat framställa.</w:t>
        <w:br/>
        <w:br/>
        <w:t xml:space="preserve">Jag skall nu i stället tala litet om utskottets invändningar och om den synvinkel, från vilken utskottet ser frågan. Utskottet har egentligen icke någon ledande tanke på ämnet utan endast ganska förtjänstfullt framställt, hur det förhåller sig i olika länder. I vissa länder har man gått in på den förändringen, säger utskottet, men gjort den och den restriktionen, och i andra länder har man icke gått på den vägen utan på en annan väg och så får man en förnimmelse av hur man på olika håll trasslar sig fram på detta område. Skall man draga någon slutsats av detta, så är det den, att det av motionärerna berörda ämnet är ett brännande spörsmål i all utländsk lagstiftning. Man söker taga upp tanken, fast man möter svårigheter. När så slutligen utskottet kommer fram till sina avgörande skäl, ungefär desamma som den siste talarens, så äro de följande: icke går det väl an, att man hindrar att </w:t>
      </w:r>
      <w:r>
        <w:rPr>
          <w:b/>
        </w:rPr>
        <w:t>mödrars²</w:t>
      </w:r>
      <w:r>
        <w:rPr>
          <w:b w:val="0"/>
        </w:rPr>
        <w:t xml:space="preserve"> och barns försörjningsanspråk tagas ut av en avlöning. Men något sådant ha icke motionärerna påstått heller, det hör till sådana där undantag, som man får göra efteråt. Så komma vi till utskylderna. Där går det heller icke för sig, säger utskottet. Det är däremot tvivelaktigt, därom kan man verkligen tvista, om under alla förhållanden avlöningen också skall gå till utskylder. Varför skall staten som fordringsägare ha förmånsrätt framför andra. Staten har bredare rygg, den kan väl inför behjärtansvärda fall avstå från att göra sina fordringsanspråk gällande. Det har jag alltid tyckt mig icke kunna förstå, varför staten alltid skall hålla sig framme framför alla enskilda fordringsägare, men det kan man, som sagt, tvista om. Men så gäller det till sist andra fordringar, och då säger utskottet: »Ifrågasättas kunde väl emellertid, huruvida icke vid utmätning för andra fordringar än de nu berörda en viss ökad utmätningsfrihet för innestående eller uppburna löneoch pensionsbelopp borde stadgas. Utskottet vill icke förneka, att någon Jämkning i gällande bestämmelser så väl 1 detta fall som på närliggande områden kunde äga fog för sig.» Då är väl saken klar. Utskottet medger behovet av revision av lagstiftningen. Men ändå motsätter sig utskottet varje initiativ i saken. Vad har utskottet för skäl därtill? Jo utskottet säger, att frågan blir icke av någon större praktisk betydelse för de klasser av löntagare vilkas intressen motionärerna närmast avse att främja.</w:t>
        <w:br/>
        <w:br/>
        <w:t>Men för det första, när en motion framföres, väckes den väl icke bara för en viss klass, utan utskottet har att över huvud taget pröva, om förslaget är lämpligt för folk i allmänhet eller icke. Och för det andra hur vet utskottet, att det icke kan vara fall, då just denna klass blir gagnad av detta förslag. Motionärerna ha nog sina randiga erfarenheter därom. Herr Hage har också sina erfarenheter. Jag måste därför säga, att jag sällan läst ett lagutskottsutlåtande så otillfredsställande som det föreliggande. Men det beror naturligtvis, herr talman, på den oerhörda brådska man har haft att fabricera utlåtanden, alldeles mekaniskt, i lagutskottet. Det har bara gällt</w:t>
        <w:br/>
        <w:br/>
        <w:t>Nu yrkar jag i alla fall bifall till reservationen.</w:t>
      </w:r>
    </w:p>
    <w:p>
      <w:pPr>
        <w:pStyle w:val="Heading2"/>
      </w:pPr>
      <w:r>
        <w:t>3. Gustaf Albert Petersson (Lantmanna- och borgarepartiet inom andrakammaren, man)</w:t>
      </w:r>
    </w:p>
    <w:p>
      <w:r>
        <w:rPr>
          <w:b w:val="0"/>
        </w:rPr>
        <w:t>Herr talman, mina herrar! Det är svårt att i en timme då allt brådskar som nu reda ut en sådan sak som den förevarande, så att innebörden av densamma blir något så när klarlagd.</w:t>
        <w:br/>
        <w:br/>
        <w:t>I allmänhet är det väl så, att när lagutskottet, eller vilket utskott som helst, har att behandla en motion, det först gäller att undersöka vad motionen innehåller och vad motionären begär. Man kan icke, endast på grund därav att motionären i sin motion givit sig in på ett visst ämne företaga sig att undersöka alla de möjliga förhållanden, som på ett eller annat sätt kunna stå i samband med detta ämne, man kan icke breda ut sig över de olika lagstiftningsområden som på ett eller annat sätt kunna därav beröras.</w:t>
        <w:br/>
        <w:br/>
        <w:t xml:space="preserve">Motionärerna begära, »att Kungl. Maj:t ville för riksdagen framlägga förslag till sådan ändring av 65 $ utsökningslagen, att viss del av gäldenärs innestående avlöning för allmän eller enskild tjänst eller innestående pension skyddas från utmätning». — Vad står det nu i 65 8 utsökningslagen? Jo, följande: »Från utmätning skola undantagas dels nödiga gångoch sängkläder för gäldenären, hans </w:t>
      </w:r>
      <w:r>
        <w:rPr>
          <w:b/>
        </w:rPr>
        <w:t>hustru²</w:t>
      </w:r>
      <w:r>
        <w:rPr>
          <w:b w:val="0"/>
        </w:rPr>
        <w:t xml:space="preserve"> och oförsörjda barn, dels ock, till ett värde av högst etthundrafemtio kronor, nödiga arbetsredskap eller andra nödiga lösören. Saknas utväg till nödtorftigt uppehälle; då skall av det förråd, som i huset finnes, undantagas vad till underhåll för en månad tarvas. — — —» Här stadgas sålunda ett generellt undantag från utmätning, det skall undantagas vad, som lagen uppställt såsom ett existensminimum för den närmaste tiden. Så begär man, att detta existensminimum skall utsträckas att gälla även viss del av avlöning, d. v. s. att avlöning skall ställas i paritet med sådan tillgång som i paragrafen omförmäles. Emellertid har det uppenbarligen icke varit motionärens mening — att döma av hans nyss hållna anförande — att lönefordringar utan vidare skulle likställas med de tillgångar, som i lagrummet angivas. Han torde i stället, såvitt jag förstått hans anförande rätt, hava syftat på något annat än vad han i motionen begärt. Han har tydligen velat ifrågasätta något slags delförfarande vid utmätningen eller något betalningsanstånd, varigenom, som han sade, en fordran, för vilken man såsom regel icke vill bevilja samma utmätningsfrihet, som beträffande vanliga fordringar, såsom skadestånd eller dylikt, skulle kunna delas upp och en viss del utkrävas exempelvis varje månad.</w:t>
        <w:br/>
        <w:br/>
        <w:t>Ja väl, det är en sak, som kan förtjäna att tagas under övervägande. Men icke är det rimligt, att begära, att lagutskottet skall gissa sig till att detta är syftemålet med motionen; ty om herrarna läsa motiveringen till densamma skola herrarna finna, att där står icke ett ord om annat än att löneförmåner skola likställas med de andra tillgångar som omtalas i paragrafen ifråga om dess undantagande vid utmätning för gäld.</w:t>
        <w:br/>
        <w:br/>
        <w:t>Det är icke möjligt att ifråga om motioner framkomma med den generella läggning, som här är fallet, och med den intetsägande eller litetsägande motivering som denna motion innehåller kunna ge sig in på olika kringliggande områden; och med hänsyn till den oerhörda arbetsbörda, som pålegat lagutskottet, får jag verkligen säga, att det är ganska vackert gjort, att lagutskottet kunnat åstadkomma den utredande motivering, som här föreligger, och som itminstone ger motionärerna en anvisning på att då de komma igen med sitt förslag — vilket de naturligtvis snart göra — beakta de olika förhållanden, som förefinnas i det ämne de tala om, och söka föra fram sina önskemål på ett sådant sätt, att motionen blir möjlig att behandla på annat sätt än nu. Med motionen, sådan den nu föreligger, är det icke möjligt att utan en synnerligen genomgående bearbetning något åtgöra; det förefaller mig vara klart. Att skriva till Kungl. Maj:t i detta ämne utan att ge något som helst uttryck åt de önskemål som man vill nå och utan att antyda de begränsningar som äro nödvändiga i anledning av de förhållanden utskottet påpekat synes mig ej heller kunna ifrågakomma. Utskottet har som saken nu förelegat icke haft annat att göra än att avstyrka motionen; och jag hoppas, att kammaren härutinnan biträder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