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261</w:t>
      </w:r>
    </w:p>
    <w:p>
      <w:r>
        <w:rPr>
          <w:b/>
        </w:rPr>
        <w:t xml:space="preserve">Datum: </w:t>
      </w:r>
      <w:r>
        <w:t>1917-03-23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Forssman (Första kammarens nationella parti, man)</w:t>
      </w:r>
    </w:p>
    <w:p>
      <w:r>
        <w:rPr>
          <w:b w:val="0"/>
        </w:rPr>
        <w:t>Då jag anslutit mig till den av herr von Hofsten m. fl. vid utskottets betänkande fogade reservationen, skall jag tillåta mig att i korthet redogöra för de mera väsentliga olikheterna mellan nu gällande försäljningsförordning och de i reservationen och utskottsbetänkandet framställda förslagen.</w:t>
        <w:br/>
        <w:br/>
        <w:t>En viktig åtskillnad finnes rörande kommunernas inflytande på beviljandet av rättigheter till försäljning av alkoholhaltiga drycker och deras utövande. I detta hänseende hava såväl utskottets som reservanternas förslag infört större befogenhet för kommunerna. Reservanternas förslag har, i överensstämmelse med rådande .förhållianden, uppdragit denna "befogenhet åt stadsfullmäktige i stad och kommunalstämma på landet, vilka myndigheter kunna med ett beslut tillkommet genom omröstning enligt gällande kommunal rösträttsgrund, förhindra spriträttigheters beviljande. Man brukar kalla ett så åvägabragt veto kommunalt veto. Utskottet har i sitt</w:t>
        <w:br/>
        <w:br/>
        <w:t xml:space="preserve">förslag upptagit det s. k. »lokala veto-institutet». Med det lokala vetot förstår man ett förbud mot spritförsäljning uppkommet genom ett beslut, fattat genom kommunal folkomröstning, d. v. s. en perkapita-omröstning, däri varje i kommunen mantalskriven välfreidad man och </w:t>
      </w:r>
      <w:r>
        <w:rPr>
          <w:b/>
        </w:rPr>
        <w:t>kvinna¹</w:t>
      </w:r>
      <w:r>
        <w:rPr>
          <w:b w:val="0"/>
        </w:rPr>
        <w:t>, som fyllt 21 år, är berättigad deltaga. För besluts fattande om veto fordras minst ”/s av de avgivna rösterna, liksom samma pluralitet fordras för att åter införa rättighet till försäljning av alkoholhaltiga drycker. De skäl som förhindrat reservanterna att gå med på det lokala vetoinstitutet äro så kända, att jag icke skall upptaga herrarnas tid mer att här redogöra för desamma.</w:t>
        <w:br/>
        <w:br/>
        <w:t>Ett annat hänseende, i vilket en mera avsevärd olikhet råder mellan den nuvarande ordningen och den som med de bägge förslagen skulle etableras, är i fråga om sättet för försäljning av vin och öl. Enligt de av utskottet och reservanterna föreslagna försäljningsförordningarna skulle dessa slag av drycker läggas under systembolagen så som nu är fallet med brännvin, under det vin och öl nu ej äro underkastade sådan kontroll. Det behöver iu icke påpekas, att detta utgör en mycket starkt restriktiv åtgärd.</w:t>
        <w:br/>
        <w:br/>
        <w:t>De bägge förslagen skilja sig från varandra därigenom, att alkoholgränsen mellan de av systembolagen kontrollerade och de fria alkoholhaltiga dryckerna satts vid 3,6 70 (pilsnerdrickats alkoholhalt) av reservanterna, under det utskottet lagt gränsen vid 24 2 (svagdrickats alkoholhalt). Denna åtskillnad kan ju synas vara av mycket väsentlig betydelse men utgör i själva verket en av de största stötestenarna på vägen till samförstånd med de organiserade nykterhetsvännerna. Dessa senare hava nämligen i frigivandet av en maltdryck med pilsnerdrickats alkoholhalt sett en fara för nykter-</w:t>
        <w:br/>
        <w:br/>
        <w:t>. heten och en försämring av nuvarande förhållanden på nykterhets-</w:t>
        <w:br/>
        <w:br/>
        <w:t>lagstiftningens område. Reservanterna anse däremot, att allmänhetens vänjande vid förbrukning av alkoholsvaga drycker är ett steg i rätt riktning för främjandet av nykterheten och kunna omöjligt finna någon betänklighet i att en dryck med endast 3,6 volymprocent alkohol behandlas som en vanlig handelsvara. De påstådda olägenheterna av utskänkning av pilsnerdricka orsakas, enligt min mening, icke av pilsnerdrickats rusande egenskaper, utan därav, att, å ställen där denna servering skett, brist på ordning och tukt råder, så att dit samlas en del löst folk, som medföra starkare spritdrycker eller surrogat därför. Den i reservationen införda bestämmelsen, att magistrat eller kommunalnämnd äga förbjuda sådan utskänknings fortsättande, så snart oordningar där äga rum, synes mig vara den bästa garanti mot ovannämnda missförhållande. Pilsnerdrickats frigivande har också i ekonomiskt hänseende en mycket stor betydelse. Därigenom skulle nämligen den ekonomiska förlust, bryggeriindustrien utan tvivel kommer att göra genom ölkonsumtionens nedgång till följd av vidtagna restriktioner, i väsentlig mån täckas, och ersättningsfrågan beträffande bryggerierna skulle därigenom komma inom de praktiska möjligheternas område.</w:t>
        <w:br/>
        <w:br/>
        <w:t>Vad angår att hålla vinhandlarna skadelösa har, i herr von</w:t>
        <w:br/>
        <w:br/>
        <w:t>Hofstens motion, den saken så ordnats, att det lämnats dem en skälig frist att avveckla sin affärsverksamhet. I detta syfte har föreslagits att, under det förordningen i övrigt skall träda i kraft den 1 januari 1921, försäljning av vin till avhämtning, som bedrivits sedan den 1 augusti 1914, skall få fortsättas till den 1 januari 1939, skolande dock i förordningen gjorda föreskrifter angående utminutering av vin, i tillämpliga delar lända till efterrättelse. Ut: skottets förslag innebär, att däri upptagna försäljningsförordning skall träda i kraft den 1 januari 1919.</w:t>
        <w:br/>
        <w:br/>
        <w:t>Till slut anhåller iag få framhålla att herr von Hofstens m. fl. reservation i allt överensstämmer med det Kungl. Maj:ts förslag till försäliningsförordning, som framlades vid 1914 års senare riksdag och med det beslut denna kammare fattat under de tre sista riksdagarna. Jag vågar därför förutsätta, att kammaren även i år skall fatta ett liknande beslut.</w:t>
        <w:br/>
        <w:br/>
        <w:t>I anslutning till vad jag sålunda yttrat tillåter lag mig yrka avslag å den föredragna paragrafen.</w:t>
        <w:br/>
        <w:br/>
        <w:t>Beträffande det förslag som nu föreligger från utskottets sida, är ju detta detsamma som kamrarna behandlat under de tre föregående riksdagarna. Den näst föregående talaren gjorde en Jämförelse mellan utskottets förslag och det förslag som innefattas i den motion, till förmån för vilken sagda talare reserverat sig. Jag föreställer mig, att kammarens ledamöter efter de tre föregående årens behandling av denna fråga känna till den så väl i dess detaljer, att jag icke alls behöver uppehålla mig närmare vid dessa, särskilt då ju en hel del andra ärenden ännu stå på föredragningslistan, och då jag är övertygad dessutom, att en del andra talare, som omfatta samma ståndpunkt som utskottet, komma att ytterligare ställa i belysning de olika punkter, i vilka utskottets förslag enligt mitt och deras förmenande är att föredraga framför reservanternas. Under sådana omständigheter skall jag, herr talman, icke upptaga kammarens tid med att försvara betänkandet. Men jag kan dock icke avhålla mig från att rörande den punkt, som nu är föredragen, nämligen 29 $, som ju är den första paragrafen i det kapitel, som omfattar bestämmelserna om det lokala vetot, särskilt framhålla en sida av saken.</w:t>
        <w:br/>
        <w:br/>
        <w:t xml:space="preserve">Den föregående talaren jämförde mycket kortfattat visserligen men i alla fall åtminstone tydligt innebörden av å ena sidan vad man kallat kommunalt veto och å andra sidan det lokala vetot. För mig står som den viktigaste punkten i det s. k. lokala vetot den omständigheten, att </w:t>
      </w:r>
      <w:r>
        <w:rPr>
          <w:b/>
        </w:rPr>
        <w:t>kvinnorna¹</w:t>
      </w:r>
      <w:r>
        <w:rPr>
          <w:b w:val="0"/>
        </w:rPr>
        <w:t xml:space="preserve"> där få lov att ge sin mening tillkänna, och det kunna väl alla vara överens om, att hemmet så nära beröres av en lagstiftning som den här ifrågavarande, att </w:t>
      </w:r>
      <w:r>
        <w:rPr>
          <w:b/>
        </w:rPr>
        <w:t>kvinnorna¹</w:t>
      </w:r>
      <w:r>
        <w:rPr>
          <w:b w:val="0"/>
        </w:rPr>
        <w:t xml:space="preserve"> därvidlag böra</w:t>
        <w:br/>
        <w:br/>
        <w:t xml:space="preserve">i mer än de allra flesta andra frågor hava ett ord med till avgörande. Det förefaller mig, som om denna kammare icke borde ha allt för mycket att invända mot, att </w:t>
      </w:r>
      <w:r>
        <w:rPr>
          <w:b/>
        </w:rPr>
        <w:t>kvinnorna¹</w:t>
      </w:r>
      <w:r>
        <w:rPr>
          <w:b w:val="0"/>
        </w:rPr>
        <w:t xml:space="preserve"> på detta område verkligen finge något att säga. Det är väl icke alldeles fritt för, att man på det yttersta i dessa dagar sett tecken till, att man på högerhåll högt skattar </w:t>
      </w:r>
      <w:r>
        <w:rPr>
          <w:b/>
        </w:rPr>
        <w:t>kvinnornas¹</w:t>
      </w:r>
      <w:r>
        <w:rPr>
          <w:b w:val="0"/>
        </w:rPr>
        <w:t xml:space="preserve"> uttalanden i politiska frågor. Jag syftar på den stora betydelse, man inom högerpressen tillagt den petition, som framburits till statsministern och bland vars undertecknare man ju hört, att </w:t>
      </w:r>
      <w:r>
        <w:rPr>
          <w:b/>
        </w:rPr>
        <w:t>kvinnorna¹</w:t>
      </w:r>
      <w:r>
        <w:rPr>
          <w:b w:val="0"/>
        </w:rPr>
        <w:t xml:space="preserve"> tagit en mycket framstående del. Det förefaller mig underligt, om man skulle anse, att </w:t>
      </w:r>
      <w:r>
        <w:rPr>
          <w:b/>
        </w:rPr>
        <w:t>kvinnorna¹</w:t>
      </w:r>
      <w:r>
        <w:rPr>
          <w:b w:val="0"/>
        </w:rPr>
        <w:t xml:space="preserve"> icke borde beredas tillfälle att effektivt taga del i en lagstiftning, som den ifrågavarande, då man på andra områden vill tillskriva deras yttranden en stor betydelse. Jag underskattar icke betydelsen av deras uttalanden på något område, men jag vågar säga, att särskilt på föreliggande område borde åt dem beredas tillfälle att göra sina önskningar gällande.</w:t>
        <w:br/>
        <w:br/>
        <w:t>Jag har, herr talman, velat säga detta därför, att man så ofta har angripit vårt yrkande på det lokala vetot. Jag skall icke vidare upptaga kammarens tid, då jag icke tror, att man vinner så mycket med detta, utan skall begränsa mig till vad jag nu yttrat och till att yrka bifall till nu föredragna 29 $.</w:t>
      </w:r>
    </w:p>
    <w:p>
      <w:pPr>
        <w:pStyle w:val="Heading2"/>
      </w:pPr>
      <w:r>
        <w:t>2. Karl Ekman (Första kammarens nationella parti, man)</w:t>
      </w:r>
    </w:p>
    <w:p>
      <w:r>
        <w:rPr>
          <w:b w:val="0"/>
        </w:rPr>
        <w:t>Herr greve och talman, mina herrar! Jag skall till en början tillåta mig att till utskottets samtliga ledamöter och utskottets ärade ordförande på Göteborgsbänken rikta en anmärkning, som gäller avfattningen av utskottets betänkande på sidan 5. Det säges där, att de motioner, som väckts i första kammaren av undertecknad m. fl., och i andra kammaren av herr Jonsson i Hökhult m. fl., avvika från övriga föreliggande förslag, bland annat därutinnan, att bestämmelserna om kommunal folkomröstning icke upptagits — det är riktigt — »utan att i stället föreslagits, att för giltighet av beslut av stadsfullmäkige, allmän rådstuga eller kommunalstämma om tillstyrkande av rätt till detaljhandel, respektive rätt till utskänkning av vin och öl skall erfordras två tredjedelar av de i omröstningen deltagandes röster». Detta sistnämnda är absolut felaktigt. Vi ha icke något sådant yrkande i våra motioner. Vi ha förr haft det, men ansett, att vi borde avstå därifrån, då det visat sig, att det icke vunnit någon anslutning, och vi ha förmodat, att det skulle vara lättare att på så sätt få bifall till den ståndpunkt vi i övrigt intagit. Det inträffade synes visa, att man icke ens läst våra motioner i år. Den förste ärade talaren sade, att i år huvudsakligen tryckeriet och kansliet arbetat, och det bär syn för</w:t>
        <w:br/>
        <w:br/>
        <w:t>sägen. Det är mycket ledsamt för en motionär att behandlas på det-</w:t>
        <w:br/>
        <w:br/>
        <w:t>ta sätt, men saken har en allvarligare sida. Det inträffade visar, att striderna i nykterhetsfrågan numera blivit ett rent spegelfäkteri. De ha övergått till ett slags ställningskrig, där man gräver ned sig i sina löpgravar och skyddsrum av förutfattade meningar och endast intresserar sig för hur man skall kunna upprätthålla sina en gång intagna positioner. Men man tager icke notis om de försök som göras för att åstadkomma ett positivt resultat. Det går dock icke an att</w:t>
        <w:br/>
        <w:br/>
        <w:t>på det sättet behandla förevarande fråga. Den har allt för länge förgiftat hela vårt politiska liv. Det är en fråga, som i mycket hög grad splittrat vårt folk; och att uti en sådan situation, i vilken vi nu befinna oss, uppehålla denna splittriag kan icke försvaras. Det är nödvändigt att här försöka komma varandra till mötes och få frågan avförd från dagordningen. Det är i sådant syfte vi väckt vår motion. Vi ha försökt åstadkomma en brygga till samförstånd; vårt yrkande härutinnan har upptagits i den av herr Berg i andra kammaren avgivna reservationen.</w:t>
        <w:br/>
        <w:br/>
        <w:t>Vi, som från början intogo denna ståndpunkt, voro ganska få. Emellertid har antalet ökats. De som nu underskrivit våra motioner 1 bägge kamrarna, äro tillsammans 22 personer, alla varma nykterhetsvänner. Det visar, att tanken på att försöka komma till resultat vunnit terräng; och det vore väl, om vi i år kunde komma till slutligt avgörande.</w:t>
        <w:br/>
        <w:br/>
        <w:t>Så vitt jag förstår, är det två saker, som huvudsakligen skilja ståndpunkterna åt. Den ena är det lokala vetot; den andra är obenägenheten på högersidan för den individuella kontrollens utsträckning även till vin och öl. Kan man komma överens om dessa huvudpunkter, ordna sig de övriga skiljaktigheterna säkerligen ganska lätt. Det lokala vetot, det må vara hur önskvärt som helst, kan icke genomföras inom en överskådlig framtid. Tvärtom har det inom denna kammare mötts med alltjämt ökat motstånd. Det förkastades 1914 med 16 rösters övervikt, 1915 med 23 rösters övervikt och 1916 med 33 rösters övervikt. Det är alldeles tydligt, i vilken riktning opinionen inom kammaren mot det lokala vetot går. Då nu förbudsvännerna inom första kammaren på högersidan icke äro fler än högst sex å sju personer, är det uppenbart, att med kammarens nuvarande sammansättning kommer det under en lång framtid att vara omöjligt att genomföra det lokala vetot. Det vet varje riksdagsman. När man ändock i motioner framför det lokala vetot, är man fullt medveten om, att det för närvarande icke kan bifallas. År 1916 gjorde man ett försök i sammanjämkningsväg. Man delade då det lokala vetot så, att det endast skulle komma att omfatta brännvinsförsäljningen, men även den ståndpunkten mötte ett förkrossande motstånd och förkastades med 28 rösters övervikt, således med större majoritet än den som fällde det fullständiga lokala vetot 1914 och 1915. Det lokala vetot har icke heller ur nykterhetssynpunkt så stor betydelse, att hela nykterhetsreformen för den skull bör äventyras. Nykterhetskommittén yttrade i sitt betänkande V på sidan 68: »Det råder på de flesta ställen av den svenska landsbygden ett tillstånd, som reellt sett är identiskt med försäljningsförbud.»&gt; Alltså behöves icke det lokala vetot i stort sett på landsbygden. TI de större städerna äro alla ense om, att det icke kan genomföras med den sammansättning, stadsfullmäktige där hava. Det är således i de mindre och medelstora städerna, som man skulle kunna hoppas få: det genomfört, möjligen även i en del landskommuner.</w:t>
        <w:br/>
        <w:br/>
        <w:t>Visserligen kunde det lokala vetot, om det genomfördes, ur nykterhetssynpunkt vara till nytta, det förnekas icke. Men långt be-</w:t>
        <w:br/>
        <w:br/>
        <w:t>tydelsefullare är dock att få en ny försäljningsförordning, som lägger icke endast brännvin och därmed likställda drycker utan även vin och öl under bolag och under individuell kontroll. Det första villkoret för att få en sådan försäljningsförordning till stånd är, att man på vänstersidan avstår från det lokala vetot. Det andra villkoret är, att man på högersidan visar det tillmötesgåendet att medgiva, att även vin och öl få läggas icke allenast under bolag utan under samma individuella kontroll, som gäller för brännvinet. Det skall icke förnekas, att 1905 års försäljningsförordning och därefter genomförda reformer verkat till stor nytta. Statistiken visar en allt- Jämt fortgående minskning i förbrukningen av alkoholhaltiga drycker. Av statistiska centralbyråns årsbok för 1916 inhämtas, att förbrukningen av brännvin per individ nedgått från 7,1 liter år 1905 till 6,7 liter år 1913. Förbrukningen av öl har nedgått från 29,7 liter år 1905 till 21,1 liter år 1913. Förbrukningen av vin har varit tämligen lika under hela tiden, cirka en halv liter per individ. Men efter genomförandet av motboksrestriktionerna för brännvin har en förändring inträffat. Brännvinsförbrukningen har ytterligare högst väsentligt nedgått. I Stockholm utminuterades under Göteborgssystemets sista år 1913 4,609,241 liter, men sedan motbokssystemet införts sjönk siffran år 1914 till 2,668,934 liter och år 1915 till 2,559,816 liter, d. v. s. nära nog ned till hälften. Dessa siffror motsvaras av liknande nedgång i antalet fylleriförseelser och omhändertagna alkoholistpatienter. Siffrorna för antalet fylleriförseelser före och efter motbokens införande förhålla sig som 100 till 64, således en nedgång till nära hälften. Antalet alkoholistpatienter på Katarina sjukhus, som är huvudstadens centrala upptagningsanstalt för sådana, sjönk i proportion härtill. Siffrorna förhålla sig åren 1913 och 1915 till varandra som 100 till 58. Detta är så mycket anmärkningsvärdare, som före motbokskontrollens införande antalet alkoholistpatienter var i stadigt tilltagande år från år. Även distriktsläkarpraktiken i Stockholm vittnar om den betydande förändring till det bättre, som i vissa avseenden inträtt. Sålunda anmäldes i staden mellan broarna under 1913 ej mindre än 128 fall av kronisk alkoholism, men 1914 blott 56 och år 1915 endast 20. Så tillvida är Ju utvecklingen ganska löftesrik.</w:t>
        <w:br/>
        <w:br/>
        <w:t>Men i samma mån som åtkomsten av brännvin och därmed jämställda drycker blivit så väsentligt försvårad, har uppkommit en ny fara, nämligen den, att förbrukningen i stället kastar sig över till vinet och ölet. Detta bestyrkes i flera fall av brännvinsförsäljningsbolagens redogörelser för år 1916. Detta ligger för övrigt i sakens natur. Då det möter hinder att åtkomma de starkare spritdryckerna, tager man vad man kan få. Denna utveckling kan icke förekommas, så länge nykterhetslagstiftningen ännu kvarstår på 1905 års grund. Den kan förekommas endast genom individuell kontroll även i fråga om försäljningen av vin och öl. Härför återigen fordras med nödvändighet en ny försäljningsförordning, som lägger även öl och vin under bolag och skiljer dem från annan handel, ty därförutan kan någon individuell kontroll ej anordnas. Herr von</w:t>
        <w:br/>
        <w:br/>
        <w:t>Hofstens förslag betecknar så till vida ett framsteg i rätt riktning, att det inför bolagssystemet för vin och öl, men det upptager icke den nödvändiga individuella kontrollen för dessa drycker utom i ett särskilt undantagsfall.</w:t>
        <w:br/>
        <w:br/>
        <w:t>Det är på denna punkt, så vitt jag förstår, som det brister i högerns ställningstagande. Nykterhetsvännerna i landet — vare sig på höger- eller vänstersidan — kunna icke godkänna en ny försäljningsförordning, som icke upptager bestämmelser om individuell kontroll över försäljningen av såväl brännvin som vin och öl. Vill man således verkligen komma till resultat i denna fråga, är det nödvändigt, att man går varandra till mötes, så att å ena sidan vänstern avstår från det lokala vetot och å andra sidan högern medger, att även vin och öl får läggas icke blott under bolag utan även under individuell kontroll. Kunna kamrarna mötas på dessa två punkter, är jag övertygad om, att övriga skiljaktigheter mycket lätt skola kunna sammanjämkas.</w:t>
        <w:br/>
        <w:br/>
        <w:t>Det är i sådant syfte vi väckt våra motioner, vilka såsom nämnts äro tillstyrkta av herr Berg i hans reservation.</w:t>
        <w:br/>
        <w:br/>
        <w:t>Herr talman, jag ämnar alltså yrka bifall till den av herr Berg avgivna reservationen; men då rätta platsen icke är vid denna paragraf, skall jag vänta med detta yrkande till längre fram under debatten.</w:t>
      </w:r>
    </w:p>
    <w:p>
      <w:pPr>
        <w:pStyle w:val="Heading2"/>
      </w:pPr>
      <w:r>
        <w:t>3. Halfred von Koch (–, man)</w:t>
      </w:r>
    </w:p>
    <w:p>
      <w:r>
        <w:rPr>
          <w:b w:val="0"/>
        </w:rPr>
        <w:t>Herr talman, mina herrar! När jag under de gångna två årens riksdagsdebatter i denna fråga har lyssnat till talarna, har jag naturligtvis icke kunnat undgå att emellanåt fattas av en viss pessimism rörande denna frågas lösning och jag kan icke neka till, att det yttrande, som fälldes av den första ärade talaren i dag, i någon mån ytterligare stärkt denna pessimistiska stämning. När man talar om, att bevillningsutskottet, som handhaft denna viktiga fråga, egentligen endast låtit kansliet och tryckeriexpeditionen arbeta, då förefaller det verkligen, som om intresset för nykterhetsfrågan. icke varit så särskilt levande inom utskottet.</w:t>
        <w:br/>
        <w:br/>
        <w:t>Emellertid — ett förnyat genomläsande av de debatter som förut ägt rum rörande denna fråga, ger mig den bestämda övertygelsen, att här i kammaren finnes ett ganske stort allmänt intresse för att äntligen få en lösning till stånd i saken och det ger mig dessutom det glädjande symtom, att från majoritetspartiets sida uttryckligen förklarats, att denna fråga icke är en partifråga. Den skall sålunda liksom andra här bedömas efter sakskäl. Skulle man icke under sådana omständigheter, mina herrar, kunna tänka sig, att vi skulle kunna finna en lösning, och att frågan efter så många debatter och så mycket arbete nu verkligen mognat till lösning? Det är dessutom ett par nytillkomna omständigheter som göra, att jag verkligen tror det är möjligt att ernå ett resultat.</w:t>
        <w:br/>
        <w:br/>
        <w:t>Den första omständigheten är de kristidsrestriktioner, som för närvarande gälla. Den första ärade talaren och hans medreservanter ha visserligen uttalat, att just dessa kristidsrestriktioner skulle vara en anledning att nu uppskjuta avgörandet i saken; man skulle</w:t>
        <w:br/>
        <w:br/>
        <w:t>Ang. brännavvakta dessa restriktioners verkningar för att sedermera, jag vet ch olhendans icke hur långt fram i tiden, träffa ett beslut i saken. Jag gillar ordnande m.m. en föregående talares uppfattning däruti, att dessa restriktioner, vad (Forts.) brännvinet och med detsamma jämställda drycker angår, visat sig fördelaktiga. De siffror herr Ekman anförde kunna kompletteras med följande: under februari månad innevarande år har i Stockholm: sakfällts för fylleri 414 personer, under samma månad år . 1916 725 och under samma månad år 1914, således före motbokssystemets införande, 1,153 personer. Detta visar ju ett ganska stort steg framåt. Men den stora frågan är denna: komma dessa restriktioner att äga bestånd efter kristidens slut? Jag och många andra med mig hoppas, att det blir fallet, men vad ha vi för säkerhet i detta avseende? Det skulle kunna tänkas, att, när kristiden är slut, slussportarna för hela den stora spritfloden återigen öppnas på vid gavel och det kan hända, att vi då komma till en högst väsentlig sänkning i den nykterhetsstandard, som vi mödosamt lyckats uppnå. Det är en ohygglig tanke, mina herrar, att allt det arbete som från myndigheters och enskilda organs sida utförts för att så småningom föra oss upp på en högre nivå skall vara förgäves. Kanske om något år skola vi störta ned igen. Det är ungefär som när man mödosamt rullar ett stenblock upp mot en höjd för att sedan få det slungat tillbaka i djupet. Jag tror att det skulle vittna om god förtänksamhet om vi i tid försökte ordna frågan om en försäljningsreform så, att, om och när restriktionerna upphävas, hela denna fråga löser sig själv på ett tillfredsställande sätt och så att vi slippa att sjunka ned på en lägre nykterhetsstandard än den wvi</w:t>
        <w:br/>
        <w:br/>
        <w:t>för närvarande befinna oss på.</w:t>
        <w:br/>
        <w:br/>
        <w:t>Det är, mina herrar, en annan omständighet, som tillkommit sedan denna fråga sista gången var före och det är, att sedan ett halvår tillbaka den nya lagstiftningen om alkoholistvård trätt i kraft. Runt om i landet hava vi nu erfarenhet på detta område och även i Stockholm, där jag haft tillfälle att inom nykterhetsnämnden ganska noga följa denna nya lags tillämpning, ha vi samlat en viss erfarenhet. Under detta halvår hava ett par hundra personer anmälts för Stockholms nykterhetsnämnd i och för internering eller andra dylika åtgärder. Vi hava undersökt dessa fall mycket noga, följande lagens föreskrifter, och vi hava därvid kommit till den bestämda övertygelsen, att det under denna tid icke varit brännvinet som varit den egentliga rusdrycken utan att det är på ölets konto, som dessa olyckliga omständigheter äro att skriva. Jag erkänner, att detta för mig var en ganska överraskande upptäckt, ty i likhet med flera av kammarens ledamöter har jag tidigare haft den tron, att ölet i jämförelse med brännvinet är en tämligen oskyldig dryck. Men nu har jag funnit, att denna inskränkning i brännvinskomsumtionen lett till, att man kastat sig över på ölet. Denna erfarenhet har jämväl vunnits på Katarina sjukhus, som har hand om alkoholister under den akuta vården, och samma erfarenhet har även vitsordats av representanter från landet vid den konferens, som hölls här för några veckor sedan. Det har visat sig på många håll, ja över</w:t>
        <w:br/>
        <w:br/>
        <w:t xml:space="preserve">allt, att skadorna i detta avseende träffa icke allenast de breda lagren utan alla samhällsklasser; de träffa bildade såväl som obildade och tyvärr, måste man säga, i icke ringa utsträckning även </w:t>
      </w:r>
      <w:r>
        <w:rPr>
          <w:b/>
        </w:rPr>
        <w:t>kvinnor¹</w:t>
      </w:r>
      <w:r>
        <w:rPr>
          <w:b w:val="0"/>
        </w:rPr>
        <w:t>. Jag tillåter mig uttrycka den uppfattningen, att, om herrarne haft samma uppgift som jag att under detta halvår å kommunens vägnar hjälpa dessa 200 personer, som missbruka öl och andra varor, till rätta och om herrarne därvid funnit, att ölet för närvarande är den stora svårigheten, herrarne då icke skulle hyst någon tvekan att förorda ganska långt gående åtgärder för att försvåra åtkomsten av öl och dylika drycker för att förhindra missbruk. Och det är från dessa erfarenheter jag måste granska å ena sidan herr von Hofstens förslag, som förordas av herr Forssman och andra reservanter, och å andra sidan utskottets förslag. Här har redan redogjorts för dessa förslag, och jag skall därför icke uprtaga tiden därmed. Jag skall blott be att få understryka vad herr Ekman uttalade, nämligen att skillnaden mellan dessa båda förslag, vad ölet angår, icke allenast består däri, att herr von Hofstens förslag frigivit de s. k. lagrade drickorna med en alkoholhalt av ända till 3,6 Zz, utan även däri, att individuell kontroll endast efter utskottets förslag skulle bliva genomförd. Vad detta betyder Just i avseende å nykterhetsnämndens verksamhet skall jag med ett par exempel antyda.</w:t>
        <w:br/>
        <w:br/>
        <w:t>Det är en grundtanke i detta arbete att försöka såvitt möjligt undvika internering. Man ställer personen ifråga under lämplig övervakning och försöker ordna det så, att han icke behöver mista sin frihet. Man utser en person för att hjälpa och stödja honom och försöker inpränta hos vederbörande att avstå från dessa drycker, som han visat sig icke kunna använda. Men huru skall detta vara möjligt, när det icke finnes någon individuell kontroll beträffande ölet, utan dessa hundra, ja tusen försäljningsställen få fritt fungera och sälja till vem de behaga? Hur skall det vara möjligt att på ett tillfredsställande sätt skydda de svaga från dessa ständiga frestelser? Och huru skall det vidare vara möjligt att, när dessa personer utskrivits från interneringsanstalten för att alltjämt stå under tillsyn, kunna leda dem på rätta vägar då dessa försäljningsställen stå dem till buds för att köpa den dryck som leder till deras olycka? Jag tror, att var och en som studerat sig in i de föreliggande förslagen och som har en smula praktisk erfarenhet av livet, skall finna, att, om utskottets förslag genomföres, det. finnes ofantligt många möjligheter att hjälpa och stödja dessa personer. Om däremot herr von Hofstens förslag bifalles, där blott allmänna antydningar förekomma om, att man skall se till, att försäljningen åstadkommer så liten skada som möjligt och att man skall försöka avhålla sådana personer från bruket av öl om vilka skälig anledning förefinnes att antaga att de missbruka denna dryck — om detta förslag antages gives det i själva verket mycket ringa stöd åt de hjälpinstitutioner som avse att föra alkoholister till rätta.</w:t>
        <w:br/>
        <w:br/>
        <w:t>Nu är jag, herr talman, medveten om, att någon här kanske</w:t>
        <w:br/>
        <w:br/>
        <w:t>riktar till mig denna replik: icke kunna vi väl lagstifta uteslutande med tanke på alkoholisterna, utan det gäller ju framför allt den stora allmänheten. Jag skulle kunna inse det berättigade i en sådan replik, om det här vore fråga om att genomföra förbud beträffande dessa maltdrycker. Men härom är ju icke fråga, utan det gäller att beträffande öl och därmed jämställda drycker tilllämpa ett försäljningssystem, som i det hela påminner om individuell kontroll för spritdrycker. Vad det är fråga om är att vi alla måste underkasta oss litet extra besvär och disciplin, för att vi skola lyckas åstadkomma något gott för dessa personer som ej äga tillräcklig styrka för att motstå frestelserna. Om de äro alkoholister och mindervärdiga personer, så äro de dock i alla fall människor, och vi äro därför skyldiga att träda till och hjälpa dem så gott vi kunna.</w:t>
        <w:br/>
        <w:br/>
        <w:t>Den uppoffring vi skulle nödgas göra är il själva verket obetydlig. Jag har någon erfarenhet om den ifrågavarande individuella kontrollen och dess tillämpning. vad Stockholm angår. Sedan Stockholmssystemets tillkomst har jag nämligen deltagit i bolagets arbete och följt detsamma ganska noga. Jag vet att därvid irritationer och svårigheter förekommit, men jag vet också, att dessa svårigheter föranletts huvudsakligen av en ifråga om nykterhetssaken extrem grupp inom samhället, de så kallade appellisterna, och att den stora allmänheten ställt sig i det hela lojal i fråga om den individuella kontrollens tillämpning. Det är ett faktum, att år efter år, vecka efter vecka, detta system mer och mer smidigt kunnat inpassas i hela samhällsarbetet, och jag tror, att det hela blott är en organisationsfråga, som genom intresse och kunskap från bolagssystemets sida kan lösas i vilket samhälle som helst. Då jag därför å ena sidan finner, att individuella restriktioner äro nödvändiga för att hjälpa alkoholisterna till rätta, och å andra sidan den praktiska erfarenheten visar, att det även i en storstad som Stockholm går för sig att utan några större olägenheter genomföra individuell kontroll vad spritdrycker beträffar, kan jag icke förstå, varför det icke skulle vara möjligt och lämpligt att även beträffande ölet införa ett liknande system, och jag vågar därför det påståendet, att samhällssolidariteten oavvisligen kräver, att dessa restriktioner även utsträckas på sätt jag antytt.</w:t>
        <w:br/>
        <w:br/>
        <w:t>Jag vill, innan jag slutar, säga någonting om det som icke finnes i herr von Hofstens förslag, men som jag anser böra finnas, nämligen det s. k. lokala vetot. Jag vet, att jag här kanhända träder emot en eller annan nykterhetsväns åsikt i denna kammare, men jag vill taga fasta på vad den siste ärade talaren yttrade, nämligen att det vore bekant, att lokalt veto har betydelse ur nykterhetssynpunkt. Jag går längre och säger, att det, såvitt jag förstår, har ett mycket stort nykterhetsvärde, och denna min uppfattning daterar sig icke från ett eller annat år tillbaka, utan den är en gammal uppfattning hos mig, som jag fått bestyrkt under mina studier i Amerikas Förenta Stater, där jag studerat utvecklingen under flera år och utsträckt mina studier till ett flertal olika stater.</w:t>
        <w:br/>
        <w:br/>
        <w:t>Jag har i motsats till vad som yttrades härom förlidet år i denna kammare funnit, att det är tillämpningen av det lokala vetot som ligger till grund för hela det stora nykterhetsarbetet i Förenta staterna och att denna metod visat sig vara en praktiskt framkomlig metod för att främja nykterhetsverksamheten. VWisserligen var förbudstanken «föremål för försök före = inbördeskriget, men den har icke befunnits vara den lämpliga eller riktiga vägen, utan det lokala vetot, börjande med kommuner och sträckande sig till län och stater, har visat sig vara en framkomlig väg på detta område, och det är alldeles tydligt att bestämda fördelar här göra sig gällande.</w:t>
        <w:br/>
        <w:br/>
        <w:t xml:space="preserve">Den första fördelen med det lokala vetot är, att man kan lämpa nykterhetslagstiftningen efter folkopinionen i denna fråga, efter graden av den upplysning i nykhetsfrågan, som förefinnes inom olika områden i vårt land. Det är, såvitt jag kan finna, hörnstenen i all nykterhetslagstiftning att man har opinionen med sig 1 denna fråga, ty eljest blir det icke mycket bevänt med hela saken. I ett land, där opinionen är så ofantligt olika utvecklad som fallet är i Sverige, måste man gå den vägen. Jämföra vi exempelvis Småland med Skåne är det nog ingen som tvivlar på, att man när som helst skulle kunna gå långt fram på nykterhetslagstiftningens väg ifråga om Småland och Jönköpings län framför allt. Men alla veta också, att det fordras ett långt och tålamodsprövande arbete för att åstadkomma en höjning i nykterhetsopinionen i den sydligaste provinsen i vårt land. Det finnes, såvitt jag kan förstå, knappast någon bättre metod för att i samband med frågan om nykterhetslagstiftning åstadkomma en sådan opinion än att låta myndiga medborgare i samhället, män och </w:t>
      </w:r>
      <w:r>
        <w:rPr>
          <w:b/>
        </w:rPr>
        <w:t>kvinnor¹</w:t>
      </w:r>
      <w:r>
        <w:rPr>
          <w:b w:val="0"/>
        </w:rPr>
        <w:t>, uttala sin uppfattning 1 dessa saker och på det viset undersöka och stärka uppfattningen 1 nykterhetsfrågan.</w:t>
        <w:br/>
        <w:br/>
        <w:t>Jag tillåter mig, herr talman, att påpeka även en annan fördel, som det lokala vetot medför, och det är att det lokala vetot skulle komma att stimulera nykterhetsföreningarnas verksamhet i allra högsta grad. Det finnes kanske en och annan som tycker, att detta alls icke vore någon fördel, att tvärtom denna rörelse bör bekämpas. Men att döma av den debatt som förts här i kammaren torde det vara mycket få, som ha denna uppfattning. Den allmänna uppfattningen är väl, att nykterhetsrörelsen bör främjas och stärkas. Jag är själv icke medlem av den organiserade nykterhetsrörelsen, men jag har under ett tjugutal år studerat densamma efter bästa förmåga, och jag kan icke neka mig nöjet att uttala, att, efter min mening, nykterhetsrörelsen utför den mest fosterländska uppgift man gärna kan tänka sig genom att söka förmå folk till självuppfostran i stor stil. Denna rörelse har icke tillkommit genom en nyck eller på grund av en uppagiterad känslostämning, ty då skulle den ha dött sotdöden för länge sedan. Nej, den har tillkommit som en reaktion mot det förfärliga elände, som särskilt brännvinet försatt vårt land uti. Under 1800-talets förra hälft voro vi ju så djupt nedsjunkna i dryckenskap, att det förbrukades 47 liter per</w:t>
        <w:br/>
        <w:br/>
        <w:t>individ, under det att det nu förbrukas endast 6 eller 7 liter. Såsom</w:t>
        <w:br/>
        <w:br/>
        <w:t>vinssamt vinan reaktion mot detta elände, som hotade att förstöra hela vårt land,</w:t>
        <w:br/>
        <w:br/>
        <w:t>trädde nykterhetsrörelsen fram, och den är enligt min tanke något sunt och starkt. som vittnar om, att svenska folket med egna krafter vill bekämpa en av sina största faror.</w:t>
        <w:br/>
        <w:br/>
        <w:t>Nu skulle enligt min tanke denna vackra verksamhet givas ett kraftigt stöd, om man gåve densamma det lokala vetot som medel i striden. Det skulle skapas en förnyad arbetslust och möjlighet att nå de mål, efter vilka man strävar, upplysningen skulle stegras, arbetet för alkoholsjukas räddande skulle taga ny fart och nykterhetsrörelsen skulle bli vad den bör vara — en uteslutande social rörelse. Den skulle på det viset få ett fritt och självständigt arbetsfält och icke längre behöva tigga politiker om hjälp för att kunna fylla sin uppgift. När man nu under årtionden från nykterhetshåll begärt att få detta lokala veto och när arbetet för allmän folknykterhet onekligen är en vacker och fosterländsk strävan, varför i all rimlighets namn skall man då icke giva detta väsentliga hjälpmedel?</w:t>
        <w:br/>
        <w:br/>
        <w:t>Herr talman, för icke länge sedan blevo vårt lands nykterhetsvänner djupt besvikna, när frågan om ett tillfälligt förbud föll på några få röster i denna kammare. Det finnes nu ett tillfälle för riksdagen att bringa de stora breda lagren av vårt folk ett av de största glädjeämnen som man kan skänka desamma. Det är så mycket i dessa tider, som skiljer oss åt, att jag för min del icke kan, trots den pessimism som gjort sig gällande, underlåta att giva uttryck åt en livlig förhoppning, att det vid denna riksdag måtte befinnas vara möjligt att föra denna stora fråga i hamn, och med denna förhoppning tillåter jag mig, herr talman, att yrka bifall till den föredragna paragrafen.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