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288</w:t>
      </w:r>
    </w:p>
    <w:p>
      <w:r>
        <w:rPr>
          <w:b/>
        </w:rPr>
        <w:t xml:space="preserve">Datum: </w:t>
      </w:r>
      <w:r>
        <w:t>1918-03-15</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Jacob Spens (Första kammarens nationella parti, man)</w:t>
      </w:r>
    </w:p>
    <w:p>
      <w:r>
        <w:rPr>
          <w:b w:val="0"/>
        </w:rPr>
        <w:t>Vid denna punkt i utskottsutlåtandet har jag och två andra ledamöter av lagutskottet anmält reservation, och jag skall .nu be att få något utveckla de skäl, varpå vi därvid stött oss.</w:t>
        <w:br/>
        <w:br/>
        <w:t>I de första två punkterna av utlåtandet har kammaren för sin del bifallit Kungl. Maj:ts förslag om upphävande av straffpåföljden förlust av medborgerligt förtroende samt i stället antagit en bestämmelse om förlust att utöva vissa medborgerliga funktioner eller rättigheter, vare sig för alltid eller för viss tid. I stället för förlust av medborgerligt förtroende skall nu för vissa i lagen bestämda brott ådömas den påföljden, att den brottslige för viss tid eller alltid ej må utöva ämbete, tjänst eller annan allmän befattning samt ej vara berättigad avgiva röst vid val av riksdagsman eller präst eller att deltaga i kommunal- eller municipalstämmas eller allmän rådstugas eller kyrkostämmas överläggningar och beslut eller eljest rösta i allmänna ärenden, i vilkas avgörande endast den må deltaga, som är i kommunens allmänna angelägenheter röstberättigad. Den som är till sådan påföljd dömd, har ock förverkat allmän befattning, som av honom innehaves.</w:t>
        <w:br/>
        <w:br/>
        <w:t>Denna påföljd får ej ådömas, där ej brottet är belagt med dödsstraff eller med straffarbete i minst sex månader.</w:t>
        <w:br/>
        <w:br/>
        <w:t>I samband med framläggandet av detta lagförslag har Kungl. Maj:t tillkännagivit sin avsikt att i näringsfrihetsförordningen, som är en administrativ författning, utesluta villkoret om god frejd som betingelse för idkande av handel eller utövande av annan självständig näring, utan att sätta någon annan kvalifikation alls i stället, och Kungl. Maj:t har begärt riksdagens yttrande däröver. Utskottsmajoriteten har nu förklarat, att utskottet icke har något att erimra mot att detta villkor helt och hållet borttages utan att något annat sättes i stället. Utskottet har visserligen yttrat, att det nog är ett bestämt samhällsintresse att hos utövare av handel och närliggande yrken kunna finna hederlighet, men utskottet har framhållit, att å ena sidan innebär god frejd enligt lagens mening icke en borgen för oförvitlighet, medan å andra sidan det visat sig — något som också av flera länsstyrelser i deras utlåtanden påpekats — att hittills gällande bestämmelser icke hindrat vanfrejdad person från att, genom kringgående på ett eller annat sätt av lagen, driva handel eller hantverk. Utskottet avser därmed troligen det förhållandet att en, som blir dömd till vanfrejd, kan återgå till AE genom att antagas till prokurist, och det är ju ganska vanligt.</w:t>
        <w:br/>
        <w:br/>
        <w:t>Utskottet har vidare anfört, att det vore av stor vikt, att en brottsling, »som ådömts den påföljd, som enligt de sakkunnigas förslag vore avsedd att träda i stället för vanfrejdsstraffet, icke utestänges från i näringsfrihetsförordningen avsedd yrkesverksamhet. Om den frigivne finge rätt att fortsätta i det yrke, han tidigare kunde hava utövat, eller lyckades förvärva sig nytt näringsfång av i nämnda förordning avsett slag, skulle denna utväg till försörjning vara i särskilt hög grad ägnad att hålla honom uppe. Genom den mera självständiga och i övrigt fördelaktiga ställning, han genom detta näringsfång förvärvade, skulle för honom bortfalla många frestelser och anledningar att ånyo begå brott, vartill komme intresset att ej förlora en god ställning. Det vore således ett verkligt samhällsintresse att dessa brottslingar icke utan tvingande skäl berövades här ifrågavarande tillfällen att på hederligt sätt försörja sig.»</w:t>
        <w:br/>
        <w:br/>
        <w:t>Jag vill visst icke förneka, att icke vad utskottet sålunda yttrat är mycket behjärtansvärt, men vi reservanter vilja ej ha rätten att idka handel och näring fullkomligt fri utan förorda en annan av kommerskollegium i dess i ärendet avgivna yttrande anvisad utväg, för vilken jag strax skall något redogöra. Kommerskollegium och flera handelskammare ha enligt reservanternas mening anfört mycket vägande skäl för att icke rätten att driva handel och yrke skall fullständigt frigivas. Handelskammaren i Stockholm, Smålands och Blekinge handelskammare, handelskammaren i Karlstad för Värmlands län, Dalsland och Bohuslän samt handelsoch industrikammaren för Örebro och Västmanlands län hava framhållit, att de endast under den förutsättningen kunde till-</w:t>
        <w:br/>
        <w:br/>
        <w:t xml:space="preserve">styrka förslaget, att i stället för god frejd annat villkor stadgades Om god frejd för erhållande av handelsrältigheter, på det att straffade personer som villkor för skulle förhindras omedelbart efter straffets avtjänande öppna han- ”handelsgåtdel eller rörelse och därigenom minska handelsståudets anseende. tigheter. Kommerskollegium har redan tidigare, då riksdagen i en skri- = (Forte) velse år 1890 anhållit, att Kungl. Maj:t ville taga i övervägande, huruvida icke stadgandet i näringsfrihetsförordningen om god frejd som villkor för idkande av handel, hantverk eller annat yrke kunde upphävas, i avgivet yttrande förklarat, att den åsikten vore allmän, att borttagandet av villkoret om god frejd vore ägnat att försvaga kravet på redbarhet hos näringsidkare och sålunda minska förtroendet för näringslivet till men för detsamma. I anledning därav beslöt Kungl. Maj:t att riksdagens berörda framställning icke skulle till någon vidare åtgärd föranleda. Då nu frågan åter uppkommit, så har kommerskollegium uti sitt ånyo avgivna yttrande anfört, att kollegium hos Kungl. Maj:t hemställt om näringslagstiftningens revision i modern riktning. Kollegium har gjort detta med föranledande bl. a. av en inom näringskretsar och även eljest uttalad önskan, att vissa allmänna och rent fackliga kvalifikationer skulle fastställas för rätten att driva näring. Dessa påtänkta allmänna och rent fackliga kvalifikationer lära bestå i fordran på kunskap om bokföring för att idka handel och i ådagalagda prov för rättighet att självständigt få idka yrke. Det synes då icke vara lämpligt, att rätten att idka handel och annan självständig näring skulle under någon kortare tid lämnas helt och hållet fri för att sedan bindas av andra kvalifikationer hos näringsidkarna. Kommerskollegium har därför ansett, att 1 stället för villkoret om god frejd skulle tills vidare i avbidan på revision av näringsfrihetsförordningen gälla, att vederbörande, som ville idka handel eller utöva annan självständig näring, skulle styrka sig icke vara ådömd den påföljd av förlust att utöva vissa medborgerliga funktioner eller rättigheter, som enligt de nyss av kammaren antagna lagförslagen skall träda i stället för vanfrejdsfpefset. Vi reservanter ha funnit denna kollegii åsikt mycket klok. Man skall ock besinna, att ovannämnda påföljd av förlust att utöva vissa medborgerliga funktioner eller rättigheter får ådömas endast för så grova brott, som straffas med minst straffarbete i sex månader. Att så grova brottslingar ej få självständigt idka handel eller yrke så länge de äro underkastade nämnda påföljd av brottet, synes ej kunna medföra vådliga humanitära konsekvenser. Dessa brottslingar få ju alltid användas såsom biträden i handel eller yrken. De få vidare idka hantverk med biträde allenast av </w:t>
      </w:r>
      <w:r>
        <w:rPr>
          <w:b/>
        </w:rPr>
        <w:t>hustru²</w:t>
      </w:r>
      <w:r>
        <w:rPr>
          <w:b w:val="0"/>
        </w:rPr>
        <w:t xml:space="preserve"> och hemmavarande barn. De få även handla med lantmannavaror och alster av inhemsk husslöjd alldeles fritt, så nog kunna sådana personer, även om det nu i reservationen föreslagna villkor antages, få sysselsättning.</w:t>
        <w:br/>
        <w:br/>
        <w:t>Av dessa skäl hemställer jag, herr talman, om bifall till reservationen och avslag på utskottets förslag.</w:t>
      </w:r>
    </w:p>
    <w:p>
      <w:pPr>
        <w:pStyle w:val="Heading2"/>
      </w:pPr>
      <w:r>
        <w:t>2. Anders Antonsson (Liberala samlingspartiet, man)</w:t>
      </w:r>
    </w:p>
    <w:p>
      <w:r>
        <w:rPr>
          <w:b w:val="0"/>
        </w:rPr>
        <w:t>Herr greve och talman! 1864 års förordning angående utvidgad näringsfrihet ansågs vid dess tillkomst såsom för näringslivet i vårt land i hög grad revolterande. Många av kammarens ledamöter torde erinra sig, att dessförinnan näringslivet och rätt att driva näring var underkastad de många bestämmelser som innefattades i då gällande skråförordningar. Genom 1864 års förordning infördes nästan obegränsad frihet att utöva näring här i landet. Det föreskrevs dock i den nya förordningen två villkor</w:t>
        <w:br/>
        <w:br/>
        <w:t>. utom att vara myndig, nämligen att råda över sig själv och sin egen-</w:t>
        <w:br/>
        <w:br/>
        <w:t>Nästan omedelbart efter att denna förordning trätt i kraft restes krav på att andra villkor utöver dem, som innefattades i nämnda förordning, borde införas i förordningen för rätt att driva näring, bland annat att vissa fackkunskaper borde föreskrivas i de yrken, vari näring skulle bedrivas. Dessa krav ha undan för undan framställts och slutligen under det sista årtiondet blivit så starka, att vederbörande ha lyssnat därtill, och, som den föregående ärade talaren nämnde, äro de nn föremål för statsmyndigheternas prövning, så till vida att kommerskollegium hos Kungl. Maj:t har begärt att få i frågan företaga en mera ingående utredning för att på grundvalen av denna framlägga förslag till revision av nämnda förordning.</w:t>
        <w:br/>
        <w:br/>
        <w:t>Vad förelägges oss nu i stället? Man har icke tid att vänta, till dess denna ifrågasatta revision hinner framläggas, utan i stället kommer man fram med förslag, där det gäller att taga bort ett av villkoren för att driva näring här i landet, nämligen villkoret att åtnjuta medborgerligt förtroende.</w:t>
        <w:br/>
        <w:br/>
        <w:t>Det är ju helt naturligt, att detta hos närinegsidkarna i hela vårt land måste verka i hög grad nedslående, för att icke säga att det åstadkommer förbittring. Den föregående talaren nämnde ju, att detta ärende varit föremål för statsmyndigheternas prövning. Därpå får man emellertid icke reda i den kungl. propositionen, men i ett referat, som utskottet låtit verkställa och intagit i betänkandet, säges ju, att några myndigheter ha tillstyrkt med en viss tvekan, andra ha varit ytterst betänksamma, men de allra flesta ha avstyrkt den ifrågavarande ändringen, som innebär, att villkoret om medborle förtroende skulle borttagas ur den nu gällande 1864 års för-</w:t>
        <w:br/>
        <w:br/>
        <w:t>Vidare ha två föreningar hörts i saken, nämligen dels Sveriges redareförenine och dels Sveriges fartvegsbefälsförening. Varför dessa föreningar blivit hörda kan jag för min del icke förstå, därför att dessa näringar icke beröras i $ 2 av 1864 års förordning. Korporationer, som väl lämpligen bort höras i ärendet skulle väl däremot ha varit Sveriges köpmannaförening. Sveriges minuthandlares riksförbund och Sveriges hantverksorganisation. Dessa korporationer, sam representera hundratusental av Sveriges näringsidkare, ha såvitt man av handlingarna kan finna, icke blivit hörda, men dessa hade</w:t>
        <w:br/>
        <w:br/>
        <w:t>utan tvivel kommit att på det bestämdaste avstyrka bifall till en sådan förändring. ou</w:t>
        <w:br/>
        <w:br/>
        <w:t xml:space="preserve">De skäl, som nu emellertid utskottet anför till förmån för bifall till förslaget, äro i huvudsak, att det är så lält att kringgå bestämmelsen. i det att en person, som begått ett brott, som medfört förlust av medborgerligt förtroende, kan finna någon annan, som står för näringen eller för driften ifråga. Ja, samma invändning kan man med större skäl göra mot att bibehålla det andra villkoret, nämligen att den som skall driva näring skall råda över sig själv och sin egendom, då det mycket ofta förekommer, att en person kommer i ekonomiskt obestånd och därigenom nödgas att överlåta driften på sin </w:t>
      </w:r>
      <w:r>
        <w:rPr>
          <w:b/>
        </w:rPr>
        <w:t>hustru²</w:t>
      </w:r>
      <w:r>
        <w:rPr>
          <w:b w:val="0"/>
        </w:rPr>
        <w:t xml:space="preserve"> eller någon annan. Sådana förhållanden förekomma ju myeket ofta, och då skulle det i högre grad än vad i detta avseende är fallet vara skäl att borttaga även detta villkor, och följaktligen skulle det icke återstå någonting alls.</w:t>
        <w:br/>
        <w:br/>
        <w:t xml:space="preserve">Nu är det ju tydligt, att ingen är blind för det förhållandet, att de personer, som äro straffade och därigenom blivit förlustiga medborgerligt förtroende, ha svårigheter att taga sig fram efter utståndet straff. Men det är dock så, att det finns många områden, varå dessa personer kunna erhålla arbete och anställning, och det finnes intet hinder för dem att bedriva hantverk och vissa slag av handel. då de göra det med sin egen arbetskraft jämte </w:t>
      </w:r>
      <w:r>
        <w:rPr>
          <w:b/>
        </w:rPr>
        <w:t>hustru²</w:t>
      </w:r>
      <w:r>
        <w:rPr>
          <w:b w:val="0"/>
        </w:rPr>
        <w:t xml:space="preserve"> och hemmavarande barn. Sålunda äro dessa personer icke ställda utan möjligheter att försörja sig på hederligt sätt, och alla äro ju eniga därom, att så långt det kan ske bör man ju främja möjligheten för dem, som sålunda råkat illa ut, a!'t kunna sig hederligen försörja.</w:t>
        <w:br/>
        <w:br/>
        <w:t>Som kammarens ledamöter nog erinra sig, har det för några år sedan pågått en utredning om överkvalificerad arbetskraft. Det ansågs, att i en del av statens olika verk och inrättningar på många håll förefanns sådan, och det ville man råda bot för, varför man för detta ändamål tillsatte kommittéer för utredning. Dessa kommittéer framlade förslag till ändringar i överklagade förhållanden och uppnådde vissa resultat. Här synes det verkligen. som om man ville fortsätta, dock på annat område. Det förefaller som vederbörande skulle betrakta såsom överkvalifikation för näringsidkare att dessa äro i besittninig av medborgerligt förtroende. Men jag tror nu icke, att man bör gå dithän och utesluta ur lagstiftningen en sådan bestämmelse. TI stället för att neddraga och nedsätta näringsidkarne här i landet gäller det väl att med lagstiftningen så långt möjligt är stödja och främja vrkesskickligheten på alla områden och a sociala nivån, men det gör man icke på det sätt som här föreslagits.</w:t>
        <w:br/>
        <w:br/>
        <w:t>Såvitt jag kan se saken, så är förslaget sådant, att det icke hör vinna kammarens bifall, och därför skall jag tillåta mig att yrka bifall till reservationen.</w:t>
      </w:r>
    </w:p>
    <w:p>
      <w:pPr>
        <w:pStyle w:val="Heading2"/>
      </w:pPr>
      <w:r>
        <w:t>3. Gustaf Boman (Första kammarens moderata parti, man)</w:t>
      </w:r>
    </w:p>
    <w:p>
      <w:r>
        <w:rPr>
          <w:b w:val="0"/>
        </w:rPr>
        <w:t>Herr greve och talman. mina herrar! Mot förslaget att ur strafflagen borttaga bestämmelsen om straffpåföljden, förlust av medborgerligt förtroende har jag ingenting att invända.</w:t>
        <w:br/>
        <w:br/>
        <w:t>som villkor för</w:t>
        <w:br/>
        <w:br/>
        <w:t>sätt, varpå dess tillämpning skett, då en sådan straffpåföljd skolat antecknas i prästbeviset, varit ett mycket verksamt hinder för mången straffad, då han velat återtaga en hedrande vandel. Men då jag hyser denna övertygelse, kan jag icke underlåta att, om detta, såsom jag tror, är sant, det oaktat uttala min förvåning över att man i den nya avfattningen av 2 kap. 19 8 strafflagen uppräkna alla de fall, där den gamla bestämmelsen om förlust av medborgerligt förtroende för den straffade medförde diskvalifikation i fråga om utövningen av vissa rättigheter, utom ett fall, nämligen rätten att idka handel. Jag kan icke finna det vara rimligt, att då man sålunda i alla andra fall tager upp den påföljd, som nu skall ersätta vanfrejdspåföljden, och låter denna nya straffpåföljd utgöra diskvalifikationsgrund, man icke skulle taga upp den även i det av mig avsedda fallet. Och om det är riktigt, såsom jag nyss uttalat, att det viktigaste i denna fråga varit att prästbeviset för den straffade för framtiden blivit rent, står ju lagbestämmelsen kvar, kan man säga, utom i detta enda fall, nämligen i fråga om rätten att idka handel.</w:t>
        <w:br/>
        <w:br/>
        <w:t>I fråga om dylik rätt föreslår nu utskottet, att riksdagen skulle göra anmälan till Kungl. Maj:t, att riksdagen icke funnit något att erinra mot det i den kungl. propositionen avhandlade förslaget till viss ändring i kungl. förordningen den 18 juni 1864. De skäl, som där äro anförda för ett sådant förslag, äro huvudsakligen hänsyn till den straffade, hans möjligheter att bereda sig utkomst efter undergången bestraffning. Vidare anföres det sakförhållande, att det i alla fall skulle finnas möjlighet för en sådan person att på omvägar kunna utöva handel. Dessa skäl finner jag bra litet bärande. I samma stund som prästbeviset blir rent, torde det bliva samma möjlighet för en straffad person att vinna sysselsättning inom handeisyrket, visserligen icke såsom självständig företagare, som inom något annat yrke.</w:t>
        <w:br/>
        <w:br/>
        <w:t>Då förhållandet nu är, att kommerskollegium, som i denna fråga hörts och uttalat sig om ersättande av villkoret god frejd med ett annat, till stöd för sitt utlåtande haft att åberopa uttalanden från en del handelskammare — av vilka egentligen endast ett par likväl med viss tvekan hade förordat borttagandet av lagbestämmelsen — bland dem Göteborgs handelskammare — vill jag yttra några ord om hur detta senare uttalande tillkom.</w:t>
        <w:br/>
        <w:br/>
        <w:t>Saken var den, att man inom Göteborgs handelskammare behjärtade det sorgliga faktum, att stora svårigheter erbjuda sig för den. som är försedd med ett prästbevis med anteckning, att han varit dömd till förlust av medborgerligt förtroende. För att då icke omöjliggöra, att denna påföljd skulle kunna tagas bort ur strafflagen, ville man i handelskammaren icke motsätta sig saken, och uttalandet fick den form, det erhöll. Jag är emellertid övertygad om. att handelskammarens uttalande skulle ha blivit rent avstyrkande, därest man haft kännedom om det förslag som nu föreligger. Någon anledning för handelskåren förefinnes säkerligen icke att i detta avseende</w:t>
        <w:br/>
        <w:br/>
        <w:t>sätta sig i en undantagsställning, då jag tror att det för utövande 2 Jag</w:t>
        <w:br/>
        <w:br/>
        <w:t>av handel är väl så behövligt som inom annan verksamhet att vara Om god frejd</w:t>
        <w:br/>
        <w:br/>
        <w:t>känd för hederlighet och oförvitlighet. Inom ett vrke, sådant som handeln, där det personliga förtroendet är bärande för hela verksamhetens framgång och anseende kan man icke avstå från kravet på att hederlighet och respektabilitet skola finnas hos den, som är självständig utövare.</w:t>
        <w:br/>
        <w:br/>
        <w:t>Herr greve och talman! På grund av vad jag anfört vågar jag yrka på bifall till den vid betänkandet fogade reservationen.</w:t>
      </w:r>
    </w:p>
    <w:p>
      <w:pPr>
        <w:pStyle w:val="Heading2"/>
      </w:pPr>
      <w:r>
        <w:t>4. Östen Unden (Socialdemokraterna, man)</w:t>
      </w:r>
    </w:p>
    <w:p>
      <w:r>
        <w:rPr>
          <w:b w:val="0"/>
        </w:rPr>
        <w:t xml:space="preserve">Herr talman! Den föreliggande reservationen går ut på, att man skulle ersätta det nu stadgade villkoret i näringsfrihetsförordningen om god frejd såsom förutsättning för behörighet att idka näring med ett annat villkor, nämligen det, att näringsidkare icke får vara ådömd sådan påföljd, som omförmäles i 2 kap. 19 8 strafflagen enligt det nya förslaget. Jag ber att få framhålla att om reservationen antoges, en synnerligen stor kategori av personer skulle nödgas bevisa, att de icke varit ådömda sådan påföljd, varom här är fråga, att alltså personer, vilka en gång varit ådömda denna påföljd, icke skulle kunna erhålla rätt att idka vare sig grosshandel eller annan försäljning i bod eller från annat upplagsställe eller äga rätt att annorledes än med biträde av </w:t>
      </w:r>
      <w:r>
        <w:rPr>
          <w:b/>
        </w:rPr>
        <w:t>hustru²</w:t>
      </w:r>
      <w:r>
        <w:rPr>
          <w:b w:val="0"/>
        </w:rPr>
        <w:t xml:space="preserve"> och hemmavarande barn till avsalu tillverka fabriksoch hantverksarbeten eller såsom yrke utöva annan hantering. Alltså är det icke blott från handeln utan även från småhantverket som personer skulle vara utestängda, vilka en gång ådömts denna straffpåföljd. Jag undrar, om det vore lyckligt att till den grad försvåra utkomsten för dessa personer, och jag antager, att det komme att i rätt väsentlig grad neutralisera betydelsen av den genomförda reformen i fråga om vanfrejdsstraffet.</w:t>
        <w:br/>
        <w:br/>
        <w:t>Jag vill också påpeka, att det naturligtvis i fråga om vissa näringsyrken kan vara angeläget att uppställa särskilt stränga villkor, och redan nu finnes ju möjlighet till kontroll i alla de fall, då rätten att idka näring är beroende på tillstånd av myndighet. TI det avseendet ber jag också att få hänvisa till ett par författningsförslag, som nyligen förelagts riksdagen, nämligen i fråga om skrotoch lumphandel samt pantlånerörelse, i vilka myndighet tillerkännes kontroll över rätten att driva näring. I dessa fall finnes alltså full möjlighet att utöva den strängare övervakning, som där kan vara nödvändig. Det är ju också så, att av de myndigheter, som hörts i ärendet, hava de allra flesta länsstyrelser tillstyrkt det föreliggande förslaget. Kommerskollegium har visserligen föreslagit, att man skulle ersätta villkoret om god frejd med villkoret om denna nya påföljd, så att vederbörande icke finge hava varit ådömd den nya påföljden, men kommerskollegium har uttryckligen betonat, att detta blott vore en interimistisk åtgärd, och har alltså icke ansett den innebära en slutgiltig lösning av frågan.</w:t>
        <w:br/>
        <w:br/>
        <w:t>Givetvis blir det också tillfälle att under arbetet på en revision av hela näringslagstiftningen återkomma till detta spörsmål och då eventuellt avskilja vissa fall, där man kan hava anledning att uppställa dessa strängare villkor.</w:t>
        <w:br/>
        <w:br/>
        <w:t>som villkor för erhållande av handelsrättigheter. (Forts.)</w:t>
        <w:br/>
        <w:br/>
        <w:t>Slutligen vill jag påpeka, såsom jämväl framgår av utskottets utlåtande, att ursprungligen en riksdagens skrivelse ligger till grund för förslaget i denna del. Riksdagen har nämligen en gång begärt, att Kungl. Maj:t skulle taga i övervägande, huruvida icke stadgandet i näringsfrihetsförordningen angående god frejd såsom villkor för rande av handel, hantverk eller annat näringsyrke, kunde upp-</w:t>
        <w:br/>
        <w:br/>
        <w:t>Jag skulle alltså finna önskvärt, att kammaren godkände den kungl. propositionen i den form, vari den föreligger.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