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298</w:t>
      </w:r>
    </w:p>
    <w:p>
      <w:r>
        <w:rPr>
          <w:b/>
        </w:rPr>
        <w:t xml:space="preserve">Datum: </w:t>
      </w:r>
      <w:r>
        <w:t>1918-05-13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Eric Hallin (–, man)</w:t>
      </w:r>
    </w:p>
    <w:p>
      <w:r>
        <w:rPr>
          <w:b w:val="0"/>
        </w:rPr>
        <w:t xml:space="preserve">Som kammaren torde finna, har utskottet varit enigt i avseende på den fyllnadspension, som skulle tillerkännas </w:t>
      </w:r>
      <w:r>
        <w:rPr>
          <w:b/>
        </w:rPr>
        <w:t>änkan²</w:t>
      </w:r>
      <w:r>
        <w:rPr>
          <w:b w:val="0"/>
        </w:rPr>
        <w:t xml:space="preserve"> efter denne förolyckade flygare, Frih. H. G. Pfeiff, men meningarna hava delat sig, när det har varit fråga om den tidsperiod, under vilken fyllnadspension skulle utgå till barnen. I det avseendet har utskottsmajoriteten stannat vid av Kungl. Maj:t föreslagna 21 år, medan reservanterna ha velat, att denna tyllnadsjreron för barnen skulle upphöra vid 18 års ålder. Nu ligger ju rågan så, att både </w:t>
      </w:r>
      <w:r>
        <w:rPr>
          <w:b/>
        </w:rPr>
        <w:t>änkan²</w:t>
      </w:r>
      <w:r>
        <w:rPr>
          <w:b w:val="0"/>
        </w:rPr>
        <w:t xml:space="preserve"> och barnen erhålla pension från arméns pensionskassa, </w:t>
      </w:r>
      <w:r>
        <w:rPr>
          <w:b/>
        </w:rPr>
        <w:t>änkan²</w:t>
      </w:r>
      <w:r>
        <w:rPr>
          <w:b w:val="0"/>
        </w:rPr>
        <w:t xml:space="preserve"> 400 kronor och barnen 75 kronor, att för dessa senare utgå t. o. m. det år de fylla 21 är. Då har utskottet förmenat, att det riktiga vore, att man även i avseende på dessa fyllnadspensioner tillerkände barnen dessa att utgå under samma tid som de, enligt vad jag nyss nämnde, uppbära sina pensioner från kassan.</w:t>
        <w:br/>
        <w:br/>
        <w:t>Den föregående ärade talaren påpekade ett fall, som passerat för åtskilliga år sedan, och som skulle varit likartat det förevarande. Det är möjligt, att det förhåller sig, som han nämnde. Jag erinrar mig detsamma ej men finner under alla förhållanden att den ståndpunkt utskottet i detta fall intagit, är fullt logisk, och ber jag, herr talman, att få yrka bifall till utskottets förslag.</w:t>
      </w:r>
    </w:p>
    <w:p>
      <w:pPr>
        <w:pStyle w:val="Heading2"/>
      </w:pPr>
      <w:r>
        <w:t>2. Charles Lindley (Socialdemokraterna, man)</w:t>
      </w:r>
    </w:p>
    <w:p>
      <w:r>
        <w:rPr>
          <w:b w:val="0"/>
        </w:rPr>
        <w:t>Jag tror, att ett bifall till utskottets yrkande i realiteten skulle betyda, att man höjer pensionsåldern till 21 år för vissa barn, och däri ligger den stora faran. Det är icke så, att man härigenom får möjlighet att höja pensionsåldern eller bidragen för alla, utan här blir det endast några vissa kategorier, för vilka man skulle förfara på det sättet. Det är en mycket farlig princip för staten som bör vara rättvis att inslå på något sådant, som det att för vissa barn skall medgivas statsunderstöd</w:t>
        <w:br/>
        <w:br/>
        <w:t xml:space="preserve">Fyllnadspenupp till 21 år, under det att för andra skall sättas en mycket sion åt löjtlägre åldersgräns. Jag behöver bara peka på den lag, som antogs RÖRER JE för några dagar sedan, fattigvårdslagen, där man, visserligen med Pfeiffs </w:t>
      </w:r>
      <w:r>
        <w:rPr>
          <w:b/>
        </w:rPr>
        <w:t>änka²</w:t>
      </w:r>
      <w:r>
        <w:rPr>
          <w:b w:val="0"/>
        </w:rPr>
        <w:t xml:space="preserve"> majoritet, men en mycket knapp majoritet på två röster i denna och minderkammare, fick upp gränsen till 16 år, under det att den stora miåriga barn. noriteten ville fastställa en åldersgräns av 15 år. Att då ett par</w:t>
        <w:br/>
        <w:br/>
        <w:t>må jag säga, minst sagt inkonsekvent.</w:t>
        <w:br/>
        <w:br/>
        <w:t xml:space="preserve">Då man nu tycks utgå trån att i detta fall är det bara fråga om en fyllnadspension, alltså ett tillägg till en allaredan utgående pension, så är ju det visserligen sanning; men det är dock en väsentlig skillnad, ty grunden, på vilken denna tilläggspension är lagd, utgör bara 75 kronor, under det att statens bidrag blir 225 kronor, alltså betydligt mycket mer än själva grunden för understödet. Staten har saledes ingen skyldighet att anknyta sitt bidrag till bestämmelserna i ifrågavarande officerares </w:t>
      </w:r>
      <w:r>
        <w:rPr>
          <w:b/>
        </w:rPr>
        <w:t>änkeoch²</w:t>
      </w:r>
      <w:r>
        <w:rPr>
          <w:b w:val="0"/>
        </w:rPr>
        <w:t xml:space="preserve"> pupillkassa, enligt vilka pension lämnas till 21 års ålder. Jag har naturligtvis alls intet emot. att vem som helst bör kunna försäkra sig och sina efterlevande, så att de kunna utfå pupillunderstöd ända upp till 21 års ålder, om man önskar att barnen skola få tilliälle att till den tiden studera och lära. Men givetvis blir det oriktigt, om man vid sadana här tilläggspensioner skall följa dessa bestämmelser och gå med på att statens bidrag också skall utgå under hela denna tid. Det är verkligen icke av ovilja mot understödet i och för sig, utan skiljaktigheten i tillämpningen beträffande vissa barn, som gör, att jag här icke kan gå med på utskottets förslag.</w:t>
        <w:br/>
        <w:br/>
        <w:t>Det är därför, herr talman, som också jag ber att få yrka bifall till res-rvationen.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