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296</w:t>
      </w:r>
    </w:p>
    <w:p>
      <w:r>
        <w:rPr>
          <w:b/>
        </w:rPr>
        <w:t xml:space="preserve">Datum: </w:t>
      </w:r>
      <w:r>
        <w:t>1918-05-15</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Boberg (Första kammarens nationella parti, man)</w:t>
      </w:r>
    </w:p>
    <w:p>
      <w:r>
        <w:rPr>
          <w:b w:val="0"/>
        </w:rPr>
        <w:t xml:space="preserve">Då jag i dag skulle gå till kammaren. fick jag en påringning. Det var en </w:t>
      </w:r>
      <w:r>
        <w:rPr>
          <w:b/>
        </w:rPr>
        <w:t>kvinna¹</w:t>
      </w:r>
      <w:r>
        <w:rPr>
          <w:b w:val="0"/>
        </w:rPr>
        <w:t xml:space="preserve">, som frågade, om det var sant att 1 dag första kammaren skulle behandla frågan om nöjeslivet på landet. Jag sade: Det skola vi göra. »Ja», svarades det, »har ni icke annat att göra, kan ni gärna resa hem. Ungdomen vet nog ändå att roa sig. Vad ungdomen behöver är att lära sig arbeta och utveckla sig till duglighet.» När </w:t>
      </w:r>
      <w:r>
        <w:rPr>
          <w:b/>
        </w:rPr>
        <w:t>hon²</w:t>
      </w:r>
      <w:r>
        <w:rPr>
          <w:b w:val="0"/>
        </w:rPr>
        <w:t xml:space="preserve"> sagt detta, svarade jag: jag beklagar att ni icke har säte och stämma i riksdagen, så att ni där kan göra eder röst hörd. </w:t>
      </w:r>
      <w:r>
        <w:rPr>
          <w:b/>
        </w:rPr>
        <w:t>Hon²</w:t>
      </w:r>
      <w:r>
        <w:rPr>
          <w:b w:val="0"/>
        </w:rPr>
        <w:t xml:space="preserve"> sade då: »Finnes det verkligen ingen karl i riksdagen som kan säga det här?» Jag känner mig därför pliktig att göra det, och jag har, herr talman, ingenting att tillägga.</w:t>
      </w:r>
    </w:p>
    <w:p>
      <w:pPr>
        <w:pStyle w:val="Heading2"/>
      </w:pPr>
      <w:r>
        <w:t>2. Oscar Olsson (Socialdemokraterna, man)</w:t>
      </w:r>
    </w:p>
    <w:p>
      <w:r>
        <w:rPr>
          <w:b w:val="0"/>
        </w:rPr>
        <w:t>Sedan herr Boberg nu visat, att han är karl genom att läsa upp vad en damröst i telefon meddelat honom, så ber jag att få säga, gentemot de synpunkter han framförde, lik-</w:t>
        <w:br/>
        <w:br/>
        <w:t xml:space="preserve">som också emot herr Schyller, att detta tal, att det icke är värdigt första kammaren att syssla med landsbygdens nöjesfråga, tycker Jag ändå skulle ha stockat sig litet uti halsen efter herr Bergmans utredning, då han visade vad frågan här gäller. Är det alldeles ovärdigt första kammaren att taga upp frågan om vad som bör göras för att undantränga de dåliga nöjena på landsbygden, kortspel, läsning av dålig nöjeslitteratur, sensationella biografdramer o. s. v., så får jag säga, att då är det verkligen åtskilligt som ligger under första kammarens värdighet. Det är dock fråga om att i folkkulturellt intresse motarbeta mindervärdiga och skadliga nöjesformer och söka på bättre sätt utfylla den tid, som alla — utom möjligen herr Boberg och den </w:t>
      </w:r>
      <w:r>
        <w:rPr>
          <w:b/>
        </w:rPr>
        <w:t>dam²</w:t>
      </w:r>
      <w:r>
        <w:rPr>
          <w:b w:val="0"/>
        </w:rPr>
        <w:t>, som ringde till honom anse i allt för stor utsträckning ägnas åt kortspel och dåliga nöjen av olika slag. Jag vill fästa uppmärksamheten på att detta är en fråga, som är värdig första kammaren att taga upp till behandling.</w:t>
        <w:br/>
        <w:br/>
        <w:t>Då det nu framkom ett nog så beaktansvärt skäl från utskottets ordförande mot förslaget, är det dock ett skäl, som vilar på ett direkt förbiseende. Herr ordföranden var nämligen överens med oss reservanter, att sådana förädlande nöjen böra finnas och till och med understödjas från statens sida, men, sade ordföranden: Det är otänkbart att kunna ha en central organisation med den skarpa kontroll över allt detta, som skulle erfordras. Då blir det ingenting utav, då förlamas allting, och det blir en alltför stor och tungrodd apparat o. s. v. Ordföranden förbisåg, att alla dessa anmärkningar blivit vederlagda genom statens antagande av den nya bibliotekslagen. De gamla folkbiblioteken hade dåliga böcker. Staten sade då: Vi skola taga hand om dessa folkbibliotek och underkasta dem statens kontroll och vi skola se till vad de innehålla. Jag fäster uppmärksamheten på, att den enskilda företagsamheten alls icke slogs ihjäl genom att staten övertog kontrollen över folkbiblioteksväsendet. Tvärtom har detta biblioteksväsende utvecklat sig även genom föreningslivet, sedan staten tog hand om och började utöva kontroll över detta arbete. Det behövs verkligen icke någon byråkratisk, central organisation, åtminstone har det aldrig varit tal om någon sådan i motionen, såsom man torde finna, om man läser denna riktigt, och ännu mindre i reservanternas uttalanden, såsom herr Hellberg framhöll. Frågan gäller att tillse, att statsmedel användas på sådant sätt, att ingenting förspilles. Här är fråga om ett samorganiserande av vad redan finnes och möjligen ett utbyggande därav. Det är åtskilligt, som redan finnes och ligger under statens kontroll: det är fallet med folkhögskolorna, vissa studiecirklar samt föreläsningsoch konsertföreningar, varom riksdagen nyligen beslutat. Denna verksamhet kontrolleras av folkskolestyrelsen. Ar det icke praktiskt, att tillse, att bästa möjliga frukt erhålles av de penningar som riksdagen anslår? Vi känna till att åtskilligt hindrar ett samorganiserande i detta arbete, som vi allesammans utom ett par av de senare talarna anse vara synnerligen önskvärt. Herr Meurling hade den originella synpunkten, att frälsningsarméns möten — jag antager också att han menade dylika möten inom baptistförsamlingarna med flera liknande — böra användas såsom folk-</w:t>
        <w:br/>
        <w:br/>
        <w:t>Om statens nöjen på landet och att de skulle i hög grad bidraga till folkets upp-</w:t>
        <w:br/>
        <w:br/>
        <w:t xml:space="preserve">Jag tror icke, att detta är rätta vägen för anskaffande av folknöjen. Vad vidare angår kristliga föreningen av unga män, kristliga föreningen av unga </w:t>
      </w:r>
      <w:r>
        <w:rPr>
          <w:b/>
        </w:rPr>
        <w:t>kvinnor¹</w:t>
      </w:r>
      <w:r>
        <w:rPr>
          <w:b w:val="0"/>
        </w:rPr>
        <w:t xml:space="preserve"> och andra dylika föreningar, så bliva de i lika hög grad som övriga redan existerande dylika föreningar delaktiga av det stöd, som staten kan giva efter en sådan utredning, som vore grundad på vad som finnes och vad vidare kan göras.</w:t>
        <w:br/>
        <w:br/>
        <w:t>Således, lika litet som det innnebar ett förkvävande av folkbiblioteksrörelsen att staten tog hand om och understödde och därjämte kontrollerade den rörelsen, lika litet kan statens inskridande betyda något avbräck för den rörelse, som redan är i gång för folktrevnadens tillgodoseende på landsbygden, om staten låter göra en utredning och får rörelsen under sin kontroll. Jag tror, att första kammaren ingalunda behöver vara ängslig för denna sak, ty jag tror att vederbörande myndigheter veta att sköta saken på sådant sätt, att den verkligen blir till därmed avsett gagn; och jag ber därför, herr talman, att få yrka bifall till reservanternas förslag.</w:t>
        <w:br/>
        <w:br/>
        <w:t>- Överläggningen ansågs härmed slutad, varefter herr talmannen i enlighet med därunder framkomna yrkanden gjorde propositioner, först på bifall till vad utskottet i nu ifrågavarande utlåtande hemställt samt vidare på antagande av det förslag, som innefattades i den av herr Bergman m. fl. vid utlåtandet avgivna reservationen; och förklarade herr talmannen sig finna den förra propositionen, vilken upprepades, vara med övervägande ja besvarad.</w:t>
        <w:br/>
        <w:br/>
        <w:t>Då nu tiden var tämligen långt framskriden beslöts, efter framställning av herr talmannen, att handläggningen av återstående ärenden på föredragningslistan skulle uppskjutas till aftonsammanträdet.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296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