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301</w:t>
      </w:r>
    </w:p>
    <w:p>
      <w:r>
        <w:rPr>
          <w:b/>
        </w:rPr>
        <w:t xml:space="preserve">Datum: </w:t>
      </w:r>
      <w:r>
        <w:t>1918-05-22</w:t>
      </w:r>
    </w:p>
    <w:p>
      <w:r>
        <w:rPr>
          <w:b/>
        </w:rPr>
        <w:t xml:space="preserve">Kammare: </w:t>
      </w:r>
      <w:r>
        <w:t>Första kammaren</w:t>
      </w:r>
    </w:p>
    <w:p>
      <w:r>
        <w:rPr>
          <w:b/>
        </w:rPr>
        <w:t xml:space="preserve">Antal yttranden: </w:t>
      </w:r>
      <w:r>
        <w:t>8</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Adolf Dahl (Första kammarens nationella parti, man)</w:t>
      </w:r>
    </w:p>
    <w:p>
      <w:r>
        <w:rPr>
          <w:b w:val="0"/>
        </w:rPr>
        <w:t xml:space="preserve">»Vi anse den enligt Kungl. Maj:ts förslag åklagaren — med undantag endast för det fall, att brottet begåtts mot </w:t>
      </w:r>
      <w:r>
        <w:rPr>
          <w:b/>
        </w:rPr>
        <w:t>maka³</w:t>
      </w:r>
      <w:r>
        <w:rPr>
          <w:b w:val="0"/>
        </w:rPr>
        <w:t xml:space="preserve"> — medgivna åtalsrätt beträffande brott enligt 21 8 1 mom. innefatta allt för allvarlig fara för intrång å område, där individens integritet hittills varit skyddad och där dess uppgivande kan vålla större lidande, än samhället synes oss böra ålägga. Vi yrka alltså, att åklagarens åtalsrätt skall begränsas till fall, då angivelse från målsägare föreligger, och hemställa förty, att ifrågavarande paragraf måtte antagas med följande lydelse:</w:t>
      </w:r>
    </w:p>
    <w:p>
      <w:pPr>
        <w:pStyle w:val="Heading2"/>
      </w:pPr>
      <w:r>
        <w:t>2. Jacob Spens (Första kammarens nationella parti, man)</w:t>
      </w:r>
    </w:p>
    <w:p>
      <w:r>
        <w:rPr>
          <w:b w:val="0"/>
        </w:rPr>
        <w:t>Herr greve och talman, mina herrar! Det nu föreliggande lagförslaget utgör en del av den lagstiftning, som förelagts denna riksdag i syfte att bekämpa könssjukdomarna, nämligen den del av samma lagstiftning, som omfattar tvångsåtgärder av straffrättslig natur för att hindra könssjukdomarnas spridning och innefattar ändringar i vår gällande strafflag. Dessa ändringar i strafflagen kunna genomföras oberoende av det stora lagförslag, som förekommer såsom nästa ärende på dagens föredragningslista, och jag skall därför nu icke göra något principuttalande om den stora reformen med avseende på könssjukdomarnas motarbetande, som där förekommer.</w:t>
        <w:br/>
        <w:br/>
        <w:t>Den nu förevarande paragrafen i lagförslaget, som innefattar den största och viktigaste av nu ifrågavarande ändringar i strafflagen, åsyftar att införa straff för den, som smittar annan eller utsätter annan för fara att bliva smittad av könssjukdom.</w:t>
        <w:br/>
        <w:br/>
        <w:t>Det har ifrågasatts, huruvida icke en dylik gärning i det fall att smitta överföres kan straffas redan efter pu gällande lag på grund av dess bestämmelser om ansvar för åstadkommande av kronpsskada, men en sådan tillämpning av dessa bestämmelser har veterligen icke</w:t>
        <w:br/>
        <w:br/>
        <w:t>hittills vid domstol ifrågasatts, och dylika gärningar torde enligt den allmänna uppfattningen anses för närvarande vara strafflösa. Ifrågavarande sjukdomar äro emellertid från samhällelig syn-</w:t>
        <w:br/>
        <w:br/>
        <w:t>melser rörande Punkt av stor betydelse, och för det allmänna rättsmedvetandet torde oedtigketskrott ett överförande av sådan sjukdom framstå såsom synnerligen straff-</w:t>
        <w:br/>
        <w:br/>
        <w:t>värt likaväl som mången annan förgripelse mot den kroppsliga integriteten. Ett straffrättsligt ingripande mot dessa sjukdomars överförande torde därför vara fullt berättigat.</w:t>
        <w:br/>
        <w:br/>
        <w:t xml:space="preserve">I fråga om åtalsrätten i dylika mål råda emellertid mycket olika meningar. I utlandet är det huvudsakligen Norge och Danmark, en kanton i Schweiz samt Österrike, där det uttryckligen stadgas straff för den, som nedsmiltar en annan med könssjukdom. I Österrike är det dock endast prostituerade </w:t>
      </w:r>
      <w:r>
        <w:rPr>
          <w:b/>
        </w:rPr>
        <w:t>kvinnor¹</w:t>
      </w:r>
      <w:r>
        <w:rPr>
          <w:b w:val="0"/>
        </w:rPr>
        <w:t>, som kunna straffas. I alla dessa länder äro gärningar av ifrågavarande slag hemfallna under allmänt åtal.</w:t>
        <w:br/>
        <w:br/>
        <w:t>Den kommitté hos oss, som haft utredningen av denna fråga om hand, den s. k. reglementeringskommittén, har emellertid i likhet med oss reservanter ansett, att vissa av dessa brott, nämligen sådana, som avse smitta, överförd genom könsumgänge eller under annan otukt, icke böra påtalas av allmän åklagare, om de icke av vederbörande målsägare till sådant åtal angivas.</w:t>
        <w:br/>
        <w:br/>
        <w:t xml:space="preserve">Såsom skäl härför har kommittén anfört, att hänsynen till den smittade eller för smitta utsatta personen borde föranleda en sådan inskränkning i åtalsrätten. Dessa sjukdomar vore nämligen enligt den allmänna uppfattningen skamliga, och såväl på grund härav som genom de förhållanden, som vore förenade med sättet för deras överförande, skulle den smittade mången gång genom den offentlighet, som saken genom ett åtals anstä illande ej kunde undgå att erhålla, tillfogas ett nytt kännbart lidande. Jag vill här omtala ett fall från ett av våra grannland, som på sin tid "omtalades i pressen. Där hade en herre blivit åtalad för sådana brott, varom här är fråga. Flera unga av honom smittade </w:t>
      </w:r>
      <w:r>
        <w:rPr>
          <w:b/>
        </w:rPr>
        <w:t>fruntimmer²</w:t>
      </w:r>
      <w:r>
        <w:rPr>
          <w:b w:val="0"/>
        </w:rPr>
        <w:t xml:space="preserve"> bleve då inkallade såsom målsägare, och de blevo däröver så förtvivlade, att åtminstone en av dem lär hava begått självmord.</w:t>
        <w:br/>
        <w:br/>
        <w:t>I den kungl. propositionen ha emellertid dessa brott förlagts under allmänt åtal, och Kungl. Maj:t har därvid stött sig på medicinalstyrelsen, som ansett, att den av kommittén föreslagna inskränkningen i åtalsrätten skulle medföra, att ifrågavarande strafflagsparagraf sällan komme att tillämpas. Medicinalstyrelsen ville emellert'd ej gå så långt. som Kungl. Mai:t nu föreslagit, utan medicinalstyrelsen hemställde, att allmän åklagare skulle få åtala utan angivelse, endast då det gällde spridning av venerisk smitta under former, som kunde betecknas såsom allmänfarliga, d. v. s. då någon som lede av smittosam könssjukdom inläte sig i lösa och tillfälliga könsförbindelser. Detta av medicinalstyrelsen föreslagna korrektiv har emellertid Kungl. Maj:t på goda grunder ej biträtt,</w:t>
        <w:br/>
        <w:br/>
        <w:t>ställande sätt bestämma de gärningar, som med medicinalstyrelsens förslag avsåges.</w:t>
        <w:br/>
        <w:br/>
        <w:t xml:space="preserve">Kungl. Maj:t har därför tagit steget fullt ut och lagt dessa bortt under allmänt åtal, utom i det fall att brottet begåtts mot </w:t>
      </w:r>
      <w:r>
        <w:rPr>
          <w:b/>
        </w:rPr>
        <w:t>maka³</w:t>
      </w:r>
      <w:r>
        <w:rPr>
          <w:b w:val="0"/>
        </w:rPr>
        <w:t>, då det endast skulle få åtalas efter angivelse av målsägare; och utskottets majoritet har biträtt Kungl. Maj:ts förslag.</w:t>
        <w:br/>
        <w:br/>
        <w:t>Vi reservanter hava emellertid anslutit oss till kommitténs förslag och ansett, att dessa brott endast böra få åtalas av allmän åklagare efter angivelse av målsägare.</w:t>
        <w:br/>
        <w:br/>
        <w:t>Till de skäl, som kommittén anfört, skall jag be att få lägga ytterligare ett par.</w:t>
        <w:br/>
        <w:br/>
        <w:t>Om en åklagare utan angivelse av målsägare får kännedom om ett fall av smitta, kan denna kännedom måhända hava bibringats honom av någon utomstående person, som av hat eller illvilja vill ställa till skandal. Åklagaren kan då av sin tjänsteplikt känna sig manad att åtala och nödsakad att instämma den smittade såsom målsägande. Denna tillskyndas då måhända genom skandalen ett svårare lidande än genom själva smittan. Ofta torde även illasinnade eller i övrigt dåliga personer, som få reda på någon smittospridning, använda detta i utpressningssyfte. Han kan då vända sig både mot smittospridaren och den smittade och begära pengar för att ej anmäla saken för allmän åklagare.</w:t>
        <w:br/>
        <w:br/>
        <w:t>Detta om utpressning har justitieministern upptagit i sitt yttrande till statsrådsprotokollet, och justitieministern har ställt i utsikt, att straffbestämmelser mot utpressning, vilka äro under utarbetande, måhända redan nästa år kunna föreläggas riksdagen; men även om en lag mot utpressning snart kommer till stånd, så kunna dessförinnan flera utpressningar ske, och i allt fall, även om en dylik lag kommer till stånd, kunna nog därefter många fall av utpressning inträffa, som ej kunna träffas av lagen, enär nämligen i dylika fall parterna hellre betala, än de lämna saken åt offentligheten.</w:t>
        <w:br/>
        <w:br/>
        <w:t>Slutligen vill jag säga det, att om vår reservation antages, så kan visserligen följden bliva, att ett mindre antal åtal anställes, än om Kungl. Maj:ts och utskottets förslag blir lag, men värdet av dessa lagbestämmelser får ej mätas efter det större eller mindre antal gånger, som detsamma kommer till användning, utan deras huvudsakliga betydelse ligger enligt min uppfattning däri, att de från gärningar av ifrågavarande slag avhålla personer, vilka på detta område hava mindre känsliga samveten, samt framför allt därpå, att den allmänna uppfattningen i samhället påverkas, så att skärpt ansvarskänsla på hithörande område åvägabringas.</w:t>
        <w:br/>
        <w:br/>
        <w:t>Av dessa skäl, herr talman, anhåller jag att få yrka bifall till reservationen.</w:t>
      </w:r>
    </w:p>
    <w:p>
      <w:pPr>
        <w:pStyle w:val="Heading2"/>
      </w:pPr>
      <w:r>
        <w:t>3. Axel Schotte (Liberala samlingspartiet, man)</w:t>
      </w:r>
    </w:p>
    <w:p>
      <w:r>
        <w:rPr>
          <w:b w:val="0"/>
        </w:rPr>
        <w:t>Herr talman! I anledning av den siste ärade talarens yrkande ber jag att få yttra några ord.</w:t>
        <w:br/>
        <w:br/>
        <w:t>Han gick först in på den utländska lagstiftningens ståndpunkt med hänsyn till straff för spridande av könssjukdomar och med hänsyn till åtalsrätten. Han omförmälde därvidlag, att straff för ifrågavarande förseelser funnes i Danmark. Norge och Österrika. Detta är riktigt; och dylika straff äro också föreslagna i de lagförslag, som</w:t>
        <w:br/>
        <w:br/>
        <w:t>föreligga i England och i Schwiez. TI alla dessa länder åsyftar man således straff för spridande av dylika sjukdomar, och man har också anselt nödvändigt att där lägga förseelserna under allmänt åtal. An-</w:t>
        <w:br/>
        <w:br/>
        <w:t>melser rörande tages rezervanternas förslag skulle Sverige bliva det enda land, där sedlighetsbrott straff för spridande av könssjukdomar skulle finnas, men där brot-</w:t>
        <w:br/>
        <w:br/>
        <w:t>tet vore undantaget från allmänt åtal.</w:t>
        <w:br/>
        <w:br/>
        <w:t>Det är naturligtvis möjligt, att man kan framdraga fall, då det inträffat eller kunde tänkas, att missbruk ägt eller skulle äga rum av den allmänna åtalsrätten. Det fall, som den föregående talaren omförmälde från utlandet — om det nu var i alla detaljer som det framlades — synes beklagligen vara ett sådant, men det är otvivelaktigt att, huru man än lägger en sådan lagstiftning, så kan det tänkas, att i särskilt olyckliga fall ett misstag kan ske eller obehörigt ingripande äga rum. Det är nog föga mera farligt att på detta omområde hava förseelserna l&gt;gda under allmänt åtal. än vad det är på åtskilliga andra mycket viktiga områden, där förseelser äro lagda under sådant åtal. Jag tror för min del icke, att det är tillrådligt att slå in på en väg, varigenom straffbestämmelserna i förslaget i själva verket läit komme att bliva en skäligen död bokstav. Straffbestämmelserna i fråga äro ett led i samhällets kamp mot smittosamma sjukdomars spridande, och det måste vara riktigt att samhällets organ sättas i tillfälle att ingripa utan anmälan från målsägarens sida. Jag har hört sägas, att man vill likställa dessa förseelser med våldtäktsbrotten. som äro föremål för åtal endast i händelse av angivelse från målsägaren; men det bör man väl icke göra. Man kan näppeligen säga, att våldtäktsbroiten äro av en så allmänfarlig natur, som fallet är med spridandet av smittosamma könssjukdomar. Spridande av sådan smitta kan äga rum under former, som äro ganska liknande dem som förekomma i fråga om allmänfarlig förgiftning. Det kan icke vara lämpligt eller tillrådligt, tyckes mig, att samhällets organ ställas maktlösa mot förseelser av så allmänfarlig natur som spridande av smittosamma könssjukdomar och man bör i detta liksom i andra fall utgå från, att åklagarmakten är så skickad, att den kan fullgöra sina skyldigheter.</w:t>
        <w:br/>
        <w:br/>
        <w:t>Då det är säkrast och principiellt riktigast, att Kungl. Maj:ts proposition i detta fall bifalles, hemställer jag, att kammaren måtte biträda densamma.</w:t>
      </w:r>
    </w:p>
    <w:p>
      <w:pPr>
        <w:pStyle w:val="Heading2"/>
      </w:pPr>
      <w:r>
        <w:t>4. Carl Swartz (–, man)</w:t>
      </w:r>
    </w:p>
    <w:p>
      <w:r>
        <w:rPr>
          <w:b w:val="0"/>
        </w:rPr>
        <w:t>Då det nu föreliggande lagförslagets första bearbetande för att framläggas i form av proposiiion skedde under den tid jag hade den äran att vara statsminister, anser jag mig skyldig att framlägga den syn på tingen i olika punkter, som därvidlag gjorde sig hos mig gällande. Jag skall därvid visst icke ingå på något mera allmänt uttalande om själva lagen och bestämmelserna 1 övrigt. Det är ju känt, att i stort sett råder icke egentligen någon meningsskiljaktighet angående de föreslagna bestämmelsernas lämplighet. I avseende på den nu föredragna punkten Jämte ett par andra ha emellertid inom utskottet skiljaktiga meningar yppat sig. och vi hörde nyss av den -ärade reservanten från utskottet försvar för re-</w:t>
        <w:br/>
        <w:br/>
        <w:t xml:space="preserve">servanternas uppfattning i denna del. Jag måste för min del säga, att jag lika litet av det försvaret som av vad tidigare under ärendets behandling förekommit fått anledning att gå ifrån den uppfattning, som funnit uttryck i den kungl. propositionen. Jag tror för min del tvärtom, att ett bifall till vad reservanterna här föreslagit skulle till väsentlig grad inverka störande på och motverka syftet med bestämmelserna i deras helhet, sådana de i lagen äro föreslagna. Det är ju här fråga om att brott av denna beskaffenhet, som begås av könssjuk person mot annan. skall kunna åtalas av allmän åklagare. Detta ha lagutskottets reservanter motsatt sig, med egentligt framhållande av den personliga hänsyn man måste taga till offret för ett sådant brott, och jag kan liksom statsrådet och chefen för civildepartementet icke annat än erkänna, att det är ganska obehagliga situationer, som under åtskilliga förhållanden kunna i det avseendet uppstå, situationer som äro väl värda all medkänsla och all grannlagenhet i behandlingen. Men jag tror icke, att man kan driva den uppfattningen så långt som reservanierna gjort, att man vill undandraga alla dylika brott från allmänna åklagaren med undantag naturligtvis av sådana brott som begås mot </w:t>
      </w:r>
      <w:r>
        <w:rPr>
          <w:b/>
        </w:rPr>
        <w:t>maka³</w:t>
      </w:r>
      <w:r>
        <w:rPr>
          <w:b w:val="0"/>
        </w:rPr>
        <w:t>. Jag tror, att samhällets synpunkt därvidlag får lov att tillmätas större betydelse än hänsynen till den enskilda personen.</w:t>
        <w:br/>
        <w:br/>
        <w:t>Det har här erinrats om att överallt, där lagar av denna beskaffenhet äro införda, är det också bestämt, att brott av denna beskaffenhet skola falla under allmänt åtal. Så är fallet i Norge, Danmark och Österrike. Lag är i ämnet föreslagen i Schweiz och likaledes i England. Överallt har man tänkt sig detta samband. Endast här vill man avvika därifrån. Man skulle giva sig in på ett alldeles nytt område, där man icke vet huru det skulle komma att drabba. Man har all anledning antaga, att man icke skulle öka utan ganska"väsentligt minska den effekt, som man med de ifrågavarande lagbestämmelserna önskade ernå.</w:t>
        <w:br/>
        <w:br/>
        <w:t>Det anfördes av den förste ärade talaren här såsom exempel på vilka sorgliga följder skulle kunna inträffa av lagbestämmelser av denna art en episod, som för en del år sedan tilldrog sig i Köpenhamn. Jag tror dock, att den relation, som gavs av orsak och verkan i avseende på denna episod i någon mån, och kanske också ganska väsentlig sådan, tarvar korrigering. Efter den uppgift jag från fullt tillförlitligt håll erfarit var sammanhanget mellan orsak och verkan alldeles motsatt mot det av den ärade talaren framhållna. Det var icke så, att vederbörande brottsling först blev instämd för rätten och åtalad och att hans offer blevo inkallade till vittnen mot honom och att de på grund av detta tvång att avgiva vittnesmål blevo så upprörda, att ett bland dessa offer tog livet av sig, utan enligt vad som har blivit för mig försäkrat var det verkliga förhållandet det, att brottet upptäcktes just på den grund att ett eller annat självmord av offren ägde rum och att på grund därav saken blev bekant. Då var det möjligt för allmänna åklagaren att göra saken till föremål för allmänt åtal. Hade det då varit på det sättet där som det här i högerreservanternas förslag yrkas, att i alla händelser icke något åtal för detta brott kun-</w:t>
        <w:br/>
        <w:br/>
        <w:t>nat äga rum med mindre målsägaren anmält saken, kan man vara övertygad om att övriga målsägare i detta fall lika litet som det offer, som tog det steg jag nyss talat om, själva gjort anmälan om</w:t>
        <w:br/>
        <w:br/>
        <w:t>melser rörande saken, och då hade brottslingen gått fri. Och huru detta verkat på det sedlighetsbrott allmänna hälsotillståndet, kan man förstå, då han redan hunnit smit-</w:t>
        <w:br/>
        <w:br/>
        <w:t xml:space="preserve">ta ned ett treitiotal unga </w:t>
      </w:r>
      <w:r>
        <w:rPr>
          <w:b/>
        </w:rPr>
        <w:t>flickor²</w:t>
      </w:r>
      <w:r>
        <w:rPr>
          <w:b w:val="0"/>
        </w:rPr>
        <w:t>. Jag tror, att det är alldeles nödvändigt att icke låta sådana hänsyn, som i detta fall tydligen kommit till synes, göra sig gällande, när man inlåter sig på lagstiftning av denna beskaffenhet. Och det är på grund av min fulla övertygelse därom, att om man icke i detta avseende låter en bestämmelse, sådan som den i den kungl. propositionen är avfattad, stå kvar, man kommer att i högsta grad vedervåga effektiviteten av denna lagstiftning, som jag, herr greve och talman, ber att få yrka bifall till Kungl. Maj:ts proposition.</w:t>
      </w:r>
    </w:p>
    <w:p>
      <w:pPr>
        <w:pStyle w:val="Heading2"/>
      </w:pPr>
      <w:r>
        <w:t>5. unknown (–, –)</w:t>
      </w:r>
    </w:p>
    <w:p>
      <w:r>
        <w:rPr>
          <w:b w:val="0"/>
        </w:rPr>
        <w:t>Det kan naturligtvis sägas, såsom den siste ärade talaren sade, att en inskränkning i den allmänna åtalsrätten i enlighet med reservanternas yrkande kunde tänkas försvaga denna lags verkan. Jag tror i alla fall, att då man skall närmare bedöma värdet av denna invändning, man till att börja med bör taga hänsyn till vad de, som närmast haft att skaffa med denna fråga, i detta avseende haft för uppfattning. Jag kan icke säga, att den kungl. propositionen åt dem, som uteslutande äro hänvisade att ur densamma bilda sig en uppfattning i frågan, ger en fullständigt klar och pålitlig bild av vad härulinnan förekommit. Det bör framhävas med eftertryck, att de särskilda kommitterade, som under årslånga mödor sysselsatt sig med frågan, icke ansett sig kunna tillstyrka den allmänna åtalsrätten, utan fastmer tagit bestämt avstånd från densamma.” Vad beträffar medicinalstyrelsens ståndpunkt till frågan får man knappast av propositionen en fullständigt riktig uppfattning. Det heter i föredragande departementschefens yttrande beträffande åtalsrättens inskränkande, att medicinalstyrelsen framhållit, att det vore ägnat att i hög grad förminska verkan av lagförslaget. Det är riktigt, men medicinalstyrelsen har också sagt, att då den person. som blivit lidande av brottet, måste under rättegången noggrant angivas, det icke gärna kan komma i fråga, att utan hans medgivande den brottslige åtalas, enär därigenom den genom brottet kränkte komme att även prisgivas åt offentligheten. När Kungl. Maj:t på goda grunder i övrigt tagit mycken hänsyn till vad den förnämsta fackmyndigheten på området i frågan ansett, förefaller det mig också att Kungl. Maj:t borde hava skänkt något mera hänsyn till medicinalstyrelsens så bestämda unnfattning i detta avseende, i varje fall så mycken hänsyn, att detta uttalande blivit i proportionen - refererat. I stället går departementschefen in på ett bemötande av det alternativa förslag, som medicinalstyrelsen framställt. i syfte att vinna samma ändamål, som genom den allmänna åtalsrätten skulle betryggas. Medicihalstyrelsen föreslår såsom kompensation för denna åtalsrätt införandet av en bestämmelse, som formuleras av medicinalstyrelsen sålunda: »Den som lider av smittsam könssjukdom och</w:t>
        <w:br/>
        <w:br/>
        <w:t>med vetskap eller misstanke därom inlåter sig i lösa och tillfälliga könsförbindelser, dömes till fängelse eller straffarbete i högst två år. Här vill medicinalstyrelsen sålunda konstituera en typ av förbrytelse, som skulle möjliggöra inskridande av den allmänna åklagaren, utan att man behövde provocera fram såsom måäl:ägare den enskilde person, som blivit drabbad av smitta. Mot detta förslag har departementschefon, så vitt jag kunnat finna, icke haft annat att erinra än att det skulle möta svårighet att definiera själva brottet, att bestimma ett sådant brotts tillvaro. Däremot kan man väl erinra, att det borde icke möta större svårighet att få detta brott definierbart och bevisligt än som föreligger i fråga om tillämpningen av ansvar för förbrytelseformer enligt 18 kap. strafflagen. För min del anser jag, att just på den väg medicinalstyrelsen anvisat man skulle komma till det mål, som man vill nå genom den allmänna åtalsrätten enligt 14 kap. Härmed anser jag, att man väsentligen brutit udden av herr Swartz anmärkning, att genom strykande av denna åtalsrätt man skulle i väsentlig mån inskränka effektiviteten av denna lagstiftning. Jag ber eder, mina herrar, att icke schematisera denna fråga, utan söka klarställa för eder, huru det i speciella fall komme att te sig. I detta avseende är att märka en betänklig lucka i lagstiftningsförslaget, som för övrigt påpekats av justitieministern i hans särskilda yttrande vid propositionen, då han anmärkt, att det behöves ett komplement för denna lagstiftning i form av lagbestämmelser mot utpressning och utpressningsförsök. Man har emellertid ansett att med dessa bestämmelser kunde anstå till den allmänna strafflagsreformen. Det är icke minst på denna punkt som betänkligheter möta, nämligen genom frånvaro av möjlighet att ingripa mot utpressning och utpressningsförsök. Jag behöver icke närmare ingå på detaljer, huru det kan tänkas att dylika försök kunna anordnas. Var och en, som har någon erfarenhet av livet, vet att dessa göra sig gällande och söka sig väg. Jag vädjar till denna kammare, om man för att tillfredsställa, jag vågar påstå, ett teoretiskt krav i fråga om hela denna byggnad, skall hålla dörren öppen för så betänkliga övergrepp som måste befaras här skola inträffa. Under hänvisning till att lagstiftningen på den väg, medicinalstyrelsen anvisar som inom en mycket kort tid, väl redan nästa riksdag, kan beträdas, har möjlighet att i handling bemöta herr Swartz anmärkning angående risken att på denna punkt göra ändring i den kungl. propositionen. vågar jag hemställa till kammaren, att kammaren ville bifalla reservanternas förslag.</w:t>
      </w:r>
    </w:p>
    <w:p>
      <w:pPr>
        <w:pStyle w:val="Heading2"/>
      </w:pPr>
      <w:r>
        <w:t>6. Hjalmar von Sydow (Första kammarens nationella parti, man)</w:t>
      </w:r>
    </w:p>
    <w:p>
      <w:r>
        <w:rPr>
          <w:b w:val="0"/>
        </w:rPr>
        <w:t>Den siste ärade talaren refererade till medlemmarna i den kommitté som haft utredningen av denna sak am hand och på vars betänkande det kungl. förslaget är grundat. Då jag var en av dessa, är det kanske på sin plats att jag också säger några ord i denna sak. Jag tillhörde visserligen icke kommittén till slutet, men jag var medlem av densamma under fyra år från 1903, och under dessa år var just förslaget om ändring i strafflagen före. Mycket ingående överläggningar förekomma inom kommittén</w:t>
        <w:br/>
        <w:br/>
        <w:t>mittén eljest, särskildt under början av sin verksamhet, utmärkte sig för en mycket stor och grundlig oenighet, kommitténs medlemmar i</w:t>
        <w:br/>
        <w:br/>
        <w:t>melser rörande denna sak blevo fullkomligt eniga. Vi undersökte förhållandena så sedlighetsbrott sott vi kunde, särskilt i våra grannländer, och kommo till resultat,</w:t>
        <w:br/>
        <w:br/>
        <w:t>att man i dessa fall icke kunde införa en allmän åtalsrätt utan att 1 mycket hög grad riskera att genom skyldigheten att uppträda inför offentligheten den kränkta personen utsattes för större lidande än det, som åsamkats honom genom sjukdomen.</w:t>
        <w:br/>
        <w:br/>
        <w:t>Då här talats om ett särskilt fall och då olika uppfattningar om detta fall under diskussionen här i kammaren förekommit och detta rättsfall i viss mån påverkade kommitténs beslut, ber jag att härom få säga några ord för att redogöra för huru det, så vitt jag kan minnas, tilldrog sig.</w:t>
        <w:br/>
        <w:br/>
        <w:t xml:space="preserve">Jag tror man kan säga, att både greve Spens och herr Swartz ha rätt i sin framställning. Det var en man, behäftad med syfilis i ett mycket smittosamt skede. På samma gång erotoman, underhöll han förbindelser med ett stort antal </w:t>
      </w:r>
      <w:r>
        <w:rPr>
          <w:b/>
        </w:rPr>
        <w:t>kvinnor¹</w:t>
      </w:r>
      <w:r>
        <w:rPr>
          <w:b w:val="0"/>
        </w:rPr>
        <w:t xml:space="preserve">. Han hade så tal-' rika rendezvouser, att han icke kunde komma ihåg dem utan måste föra bok över dem. Han antecknade i boken med största noggrannhet varje möte samt namnet på varje </w:t>
      </w:r>
      <w:r>
        <w:rPr>
          <w:b/>
        </w:rPr>
        <w:t>kvinna¹</w:t>
      </w:r>
      <w:r>
        <w:rPr>
          <w:b w:val="0"/>
        </w:rPr>
        <w:t xml:space="preserve"> och </w:t>
      </w:r>
      <w:r>
        <w:rPr>
          <w:b/>
        </w:rPr>
        <w:t>hennes²</w:t>
      </w:r>
      <w:r>
        <w:rPr>
          <w:b w:val="0"/>
        </w:rPr>
        <w:t xml:space="preserve"> bostad. Nu var det en av dessa </w:t>
      </w:r>
      <w:r>
        <w:rPr>
          <w:b/>
        </w:rPr>
        <w:t>kvinnor¹</w:t>
      </w:r>
      <w:r>
        <w:rPr>
          <w:b w:val="0"/>
        </w:rPr>
        <w:t xml:space="preserve"> som begick självmord. och detta gav polisen anledning att slå ned på mannen i fråga. Då man nu fann boken, fick man även material för åtal, och sådant material att åklagaren ansåg sig pliktig att kalla in alla dessa </w:t>
      </w:r>
      <w:r>
        <w:rPr>
          <w:b/>
        </w:rPr>
        <w:t>kvinnor¹</w:t>
      </w:r>
      <w:r>
        <w:rPr>
          <w:b w:val="0"/>
        </w:rPr>
        <w:t xml:space="preserve"> som målsägare. </w:t>
      </w:r>
      <w:r>
        <w:rPr>
          <w:b/>
        </w:rPr>
        <w:t>Kvinnorna¹</w:t>
      </w:r>
      <w:r>
        <w:rPr>
          <w:b w:val="0"/>
        </w:rPr>
        <w:t xml:space="preserve"> voro kontorsbiträden, butiksfröknar m. fl. i liknande ställning, och det väckte naturligtvis en verklig förtvivlan hos dem att nödgas uppträda inför rätta som målsägare och på samma gång uppstod hos allmänheten förbittring mot åklagaren, vilken dock endast fullgjorde sin skyldighet.</w:t>
        <w:br/>
        <w:br/>
        <w:t>Det är ju riktigt, såsom herr statsrådet framhöll, att detta endast är ett enstaka fall, och att man i lagstiftningsfrågor icke bör taga för mycken hänsyn till ett enda fall, men detta fall är verkligen mycket karakteristiskt. När herr Swartz sagt, att man genom avskaffande av den allmänna åtalsrätten i detta fall minskar lagens effektivitet, är detta teoretiskt riktigt. Men såvitt vi kunde finna vid våra undersökningar, har lagen även med allmän å-talsrätt en ytterligt ringa effektivitet. I Norge funno vi ett så ringa antal åtal, att det knappt är nämnvärt. I Danmark var det visserligen flera, men man måste säga, att en del av dessa stodo på gränsen till utpressningsförsök eller bottnade i sådana. Åtminstone var det uppfattningen där i landet. I förbigående vill jag säga, att jag är justitieministern tacksam för att han beaktat denna sida av saken och betonat att det behövs en kompletterande lag om utpressning. Otvivelaktigt hade det varit önskligt, att ett sådant lagförslag kommit samtidigt, men då det icke kunnat ske, får man hoppas att ett dylikt förslag skall komma så fort som möjligt.</w:t>
        <w:br/>
        <w:br/>
        <w:t>Sedermera har civilministern erinrat om, att i alla länder, där man har infört ifrågavarande lagstiftning, särskilt de länder som</w:t>
        <w:br/>
        <w:br/>
        <w:t>stå oss nära, Norge och Danmark, men även länder på kontinenten, falla alla dessa förbrytelser under allmänt åtal. Detta är riktigt; men herrarna må betänka skillnaden i åklagaremaktens organisation och åligganden. I allmänhet är det så på kontinenten. att allmänna åklagaren icke har ovillkorlig skyldighet att åtala alla brott, som falla under allmänt åtal. Han har en viss diskretionär makt, så att han i sådana fall, där det ur någon synpunkt är lämpligt, kan underlåta att anställa åtal, eller, om han ej själv vågar detta, hänskjuta saken till en överordnad åklagare och inhämta hans beslut om åtal bör ske eller ej. I vissa länder kan även genom dekret av justitieministern åtal inställas. Här i landet däremot stadgar lagen en ovillkorlig skyldighet för åklagaren att åtala brott som falla under allmänt åtal, han har icke någon diskretionär prövningsrätt och därför är det här i landet mycket riskabelt att införa den allmänna åtalsrätten i vanskliga fall. Vi blevo alltså, som nämnt. inom kommittén ense om, att denna åklagarerätt vore förenad med risken, att man därmed kunde åsamka den som blivit smittad ett ännu större lidande än genom själva sjukdomen. Jag vill vädja till kammaren att taga hänsyn till humanitära synpunkter i detta fall, jag måste säga, att dylika hänsyn särskilt vid en sådan lagstiftning som denna äro i högsta grad behjärtansvärda. Jag vädjar till alla dem, som låta bestämma sig av sådana motiv, att i detta fall gå med på reservationen, ty detta är en humanitär fråga av stor betydelse. Jag ber herrarna betänka detta, då jag nu yrkar bifall till greve Spens' m. fl. reservation.</w:t>
      </w:r>
    </w:p>
    <w:p>
      <w:pPr>
        <w:pStyle w:val="Heading2"/>
      </w:pPr>
      <w:r>
        <w:t>7. Herman Rogberg (Första kammarens nationella parti, man)</w:t>
      </w:r>
    </w:p>
    <w:p>
      <w:r>
        <w:rPr>
          <w:b w:val="0"/>
        </w:rPr>
        <w:t>Som jag tillhör utskottsmajoriteten i denna fråga, skall jag bedja få yttra ett par ord till försvar för dess förslag. Utskottet har icke lämnat lagförslaget obeskuret, utan grundligt prövat detsamma. Utskottet har haft kännedom om det rättsfall från utlandet, varom föregående talare ordat, men utskottet har icke funnit samma rättsfall äga sådan betydelse. att utskottet med hänsyn till dess omständigheter velat frångå de förmåner, som den allmänna åtalsrätten otvivelaktigt giver, då det gäller att bekämpa sjukdom av så allmänfarlig art som de ifrågavarande. Det som är svagast i propositionen och utskottets förslag är att varken den ena eller det andra innehåller någon bestämmelse till skydd mot utpressning; men utpressning har hittills varit ett tämligen sällsynt brott här i landet, och vi ha ju förhoppning att få en lag mot dylika brott. Ehuru jag måste giva närmast föregående ärade talare alldeles rätt därutinnan, att allmän åklagare enligt svensk lag icke har någon diskretionär befogenhet vid åtals anställande, torde det icke vara obekant, att man i åklagarpraxis dock begagnar sig av en dylik rätt, och i förmodan, att så även i framtiden skall vara fallet, jämväl i mål av här förevarandé art, har utskottet ansett sig kunna tillstyrka den kungl. propositionen, vars giltighet i övrigt såväl från statsrådsbänken som av herr Swartz tidigare angivits. Jag tillåter mig att yrka bifall till utskottets hemställan.</w:t>
        <w:br/>
        <w:br/>
        <w:t>» Vi anse — med hänvisning till vad departementschefen härutinnan uttalat — de av utskottet med anledning av herr A. Petréns motion föreslagna ändringar icke vara av behovet påkallade och hemställa förty om avslag å utskottets förslag.»</w:t>
        <w:br/>
        <w:br/>
        <w:t>Herr Dahl: Herr talman! Jag ber att i korthet få yrka bifall till den vid förevarande paragraf fogade reservationen.</w:t>
        <w:br/>
        <w:br/>
        <w:t>Reservanterna hava inskränkt sig till att åberopa vad departementschefen anfört, då han ansett sig icke böra förorda till intagande 1 detta lagförslag kommittérades förslag i denna del. Departementschefen erinrar om att »de nuvarande bestämmelserna i 18 kap. 13 $ 1 mom. strafflagen stadga straff för den, som sårar tukt och sedlighet, så att allmän förargelse eller fara för andras förförelse därav kommer. Under dessa straffbestämmelser faller uppenbarligen», säger departementschefen, »även provokation till otukt, såframt densamma utövas i sedlighetssårande form och på sådant sätt att den framkallar allmän förargelse eller fara för andras förförelse». Departementschefen har därför ansett, att ifrågavarande tillägg icke är av behovet påkallat. Denna mening delas också av 085 reservanter. Jag ber således med åberopande härav få hemställa om avslag å utskottets förslag i denna del.</w:t>
      </w:r>
    </w:p>
    <w:p>
      <w:pPr>
        <w:pStyle w:val="Heading2"/>
      </w:pPr>
      <w:r>
        <w:t>8. Alfred Petren (Socialdemokraterna, man)</w:t>
      </w:r>
    </w:p>
    <w:p>
      <w:r>
        <w:rPr>
          <w:b w:val="0"/>
        </w:rPr>
        <w:t>Såsom av utskottsbetänkandet framgår har utskottet intagit samma ställning, som reglementeringskommittén intagit i denna fråga. Kommittén ansåg det vara behövligt att utvidga denna paragraf så att provokation till otukt kunde drabbas av straff, även om den förekommer i sådan form, att den icke direkt sårar tukt och sedlighet, utan endast är ägnad att väcka allmän förargelse.</w:t>
        <w:br/>
        <w:br/>
        <w:t>Nu har departementschefen ansett, att denna utvidgning icke har så stor betydelse, och reservanterna hava anslutit sig till den uppfattningen. För min del får jag säga, att vilken uppfattning</w:t>
        <w:br/>
        <w:br/>
        <w:t>man än: har om värdet av denna utvidgning, kan väl dock icke den möjligheten uteslutas, att man med en sådan utvidgning av paragrafen kan nå flera av dessa, som provocera till otukt, än som är möjligt enligt nuvarande paragraf. Under sådana förhållanden anser jag, att man icke bör underlåta att vidtaga den av kommittén föreslagna utvidgningen, då man samtidigt står i begrepp att införa en lagstiftning, som tillåter sanitärt tvångsförfarande gent emot person, som blir åtalad enligt denna paragraf.</w:t>
        <w:br/>
        <w:br/>
        <w:t xml:space="preserve">Förslaget är, som sagt, framlagt i samband med ett förslag, avsett att möjliggöra ett kraftigare bekämpande av de smittosamma könssjukdomarna än hittills kunnat ske, och då är det väl i överensstämmelse med denna lagstiftnings syfte att söka skärpa straffbestämmelserna i fråga om provokation, då det kan antagas, att, beträffande dem, som göra sig skyldiga till provokation, det finnes åtskilliga, som äro smittokällor och därtill så ovarsamma, att de äro farliga för den allmänna sundheten, detta gällande såväl män som </w:t>
      </w:r>
      <w:r>
        <w:rPr>
          <w:b/>
        </w:rPr>
        <w:t>kvinnor¹</w:t>
      </w:r>
      <w:r>
        <w:rPr>
          <w:b w:val="0"/>
        </w:rPr>
        <w:t>. Denna synpunkt anser jag böra tillmätas en särskilt stor betydelse.</w:t>
        <w:br/>
        <w:br/>
        <w:t>Frånsett alltså önskvärdheten av att den osmakliga och för ungdomen så demoraliserande trafik, som, i form av provokation till otukt, i en storstad som exempelvis Stockholm, ofta bedrives på allmänna platser, så talar även för strängare strafflagsparagraf gent emot provokation också den hjälp, som, ifall det lagförslag, som nu står närmast efter detta på föredragningslistan, blir antaget, kan komma att lämnas genom denna pragraf i kampen mot de smittosamma könssjukdomarna.</w:t>
        <w:br/>
        <w:br/>
        <w:t>Jag kan även erinra om, att man i flera länder har en strängare strafflagsparagraf i fråga om provokation än vad vi hava, så t. ex. i Norge. Enligt den norska strafflagen drabbar straff för provokation även där sådan endast är ägnad att väcka allmän förargelse. Där återfinnes alltså samma uttryck, som i den av kommittén föreslagna och av mig i motionen upptagna formuleringen av paragrafen i fråga. Man har även infört strängare straffbestämmelser på detta område i några schweiziska kantoner och även i en del nyare lagförslag äro sådana upptagna. Jag kan sålunda nämna, att i det allra senaste lagförslaget på detta område, som framlades i England i april månad i år, skall envar, som bjuder ut sig till otukt, alldeles oberoende sålunda av om det sårar tukt eller sedlighet eller är ägnat att väcka allmän förargelse, dömas till fängelse.</w:t>
        <w:br/>
        <w:br/>
        <w:t>Då det synes mig vara alldeles särskilda skäl, som tala för att genomföra en strängare paragraf i fråga om provokation till otukt, när man nu samtidigt går att antaga en lag angående åtgärder mot utbredning av könssjukdomar, som vid åtal enligt denna paragraf anknyter ett sanitärt tvångsförfarande, så anser jag det vara. synnerligen starka skäl för kommitténs förslag, som ju även utskottet bifallit.</w:t>
        <w:br/>
        <w:br/>
        <w:t>Jag ber därför, herr talman, få yrka bifall till utskottets förslag på denna punkt.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301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