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332</w:t>
      </w:r>
    </w:p>
    <w:p>
      <w:r>
        <w:rPr>
          <w:b/>
        </w:rPr>
        <w:t xml:space="preserve">Datum: </w:t>
      </w:r>
      <w:r>
        <w:t>1919-04-25</w:t>
      </w:r>
    </w:p>
    <w:p>
      <w:r>
        <w:rPr>
          <w:b/>
        </w:rPr>
        <w:t xml:space="preserve">Kammare: </w:t>
      </w:r>
      <w:r>
        <w:t>Första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Ollas Anders Ericsson (Bondeförbundet, man)</w:t>
      </w:r>
    </w:p>
    <w:p>
      <w:r>
        <w:rPr>
          <w:b w:val="0"/>
        </w:rPr>
        <w:t>Herr greve och talman, mina herrar! av inägor.</w:t>
        <w:br/>
        <w:br/>
        <w:t>Jag ville säga ett par ord med anledning av det föreliggande ärendet. = (Forts</w:t>
        <w:br/>
        <w:br/>
        <w:t>Jag har ingenting emot formuleringen av utskottets kläm, men jag</w:t>
        <w:br/>
        <w:br/>
        <w:t>anser i alla fall, att frågan såväl av motionären som av utskottet be-</w:t>
        <w:br/>
        <w:br/>
        <w:t>handlats litet ensidigt. Jag ville därför beröra en sak, som hör hem-</w:t>
        <w:br/>
        <w:br/>
        <w:t>ma i detta sammanhang men som här icke vidrörts. Det är nämligen</w:t>
        <w:br/>
        <w:br/>
        <w:t>på det sättet, att när jorden är så splittrad, som vi ha den i Dalarne.</w:t>
        <w:br/>
        <w:br/>
        <w:t>försöker man förena den så mycket som möjligt, och därför köper en</w:t>
        <w:br/>
        <w:br/>
        <w:t>honde av en annan en bit. som ligger intill köparens inägor, och se-</w:t>
        <w:br/>
        <w:br/>
        <w:t>dan säljer den köparen åt en annan en imäga, som ligger avlägsen</w:t>
        <w:br/>
        <w:br/>
        <w:t>från honom men som passar bättre för den senare köparen 0. s. v.</w:t>
        <w:br/>
        <w:br/>
        <w:t>Man förfar på det sättet för att genom ett sådant köp eller byte åstad-</w:t>
        <w:br/>
        <w:br/>
        <w:t>komma något liknande ett laga skifte. Man söker sammanföra jorden</w:t>
        <w:br/>
        <w:br/>
        <w:t>på det sättet. Detta förfaringssätt har pågått länge och uppmuntra-</w:t>
        <w:br/>
        <w:br/>
        <w:t>des på sin tid av landshövding Treffenberg, som särskilt vid ett hus-</w:t>
        <w:br/>
        <w:br/>
        <w:t>hållningssällskapets sammanträde förordade ett dylikt förfaringssätt.</w:t>
        <w:br/>
        <w:br/>
        <w:t>Man ansåg allmänt denna tanke vara något att taga vara på. och där-</w:t>
        <w:br/>
        <w:br/>
        <w:t>för har man särskilt på vissa trakter i stor utsträckning realiserat den.</w:t>
        <w:br/>
        <w:br/>
        <w:t>Jag vet personer, som haft sin inägojord splittrad på 20 å 30 olika</w:t>
        <w:br/>
        <w:br/>
        <w:t>ägor, och på detta sätt genom köp och byten sammanfört sin jord så.</w:t>
        <w:br/>
        <w:br/>
        <w:t>att de nu ha endast ett skifte. Detta är ju icke annat än gott och väl,</w:t>
        <w:br/>
        <w:br/>
        <w:t>men sedan vi fingo 1896 års förordning om avsöndringsförfarandet.</w:t>
        <w:br/>
        <w:br/>
        <w:t>har man i allmänhet icke fått lagfart på dessa köp eller byten. Jag</w:t>
        <w:br/>
        <w:br/>
        <w:t>menar således att, om det föreliggande förslaget realiseras, bör man</w:t>
        <w:br/>
        <w:br/>
        <w:t>därvid även se till att rätt till avsöndring och meddelande av lagfart</w:t>
        <w:br/>
        <w:br/>
        <w:t>lämnas även för sådana köp och byten, som jag nu omnämnt. Denna</w:t>
        <w:br/>
        <w:br/>
        <w:t>synpnkt anser jag fullt lika viktig, att utredningen tager sikte på, så</w:t>
        <w:br/>
        <w:br/>
        <w:t>att man icke gör det alltför svårt för dem, som skola pröva, om ett</w:t>
        <w:br/>
        <w:br/>
        <w:t>köp eller byte äger sin befogenhet och därför bör tillåtas. Med detta tillägg yrkar jag bifall till utskottets kläm.</w:t>
        <w:br/>
        <w:br/>
        <w:t xml:space="preserve">»Oavsett den principiella uppfattning man kan hysa i fråga om </w:t>
      </w:r>
      <w:r>
        <w:rPr>
          <w:b/>
        </w:rPr>
        <w:t>kvinnans¹</w:t>
      </w:r>
      <w:r>
        <w:rPr>
          <w:b w:val="0"/>
        </w:rPr>
        <w:t xml:space="preserve"> ökade inträde på ämbetsmannabanan, synes oss utskottets förslag redan av formella grunder icke kunna förordas. Utskottet utgår ifrån, att </w:t>
      </w:r>
      <w:r>
        <w:rPr>
          <w:b/>
        </w:rPr>
        <w:t>kvinnan¹</w:t>
      </w:r>
      <w:r>
        <w:rPr>
          <w:b w:val="0"/>
        </w:rPr>
        <w:t xml:space="preserve"> på grund av sitt kön icke kan tänkas erhålla lika rätt till alla ämbeten som mannen. Utskottet synes också förutsätta, att i stället för i grundlagen vissa regler, som skulle avgöra, vilka ämbeten skola stå öppna för </w:t>
      </w:r>
      <w:r>
        <w:rPr>
          <w:b/>
        </w:rPr>
        <w:t>kvinnan¹</w:t>
      </w:r>
      <w:r>
        <w:rPr>
          <w:b w:val="0"/>
        </w:rPr>
        <w:t xml:space="preserve"> och vilka skola vara för </w:t>
      </w:r>
      <w:r>
        <w:rPr>
          <w:b/>
        </w:rPr>
        <w:t>henne²</w:t>
      </w:r>
      <w:r>
        <w:rPr>
          <w:b w:val="0"/>
        </w:rPr>
        <w:t xml:space="preserve"> stängda, skulle tillkomma genom annan lagstiftning, som vore föremål för Konungs och riksdags gemensamma lagstiftning. TI sådant fall är det uppenbart, att, innan grundlagsbestämmelserna på området borttagas, enighet måste vara vunnen mellan Konung och riksdag angående både sättet för dessa reglers åstadkommande och deras innehåll. Så har man ock plägat gå till väga vid andra tillfällen, då det varit fråga om att ersätta eller komplettera grundlagens föreskrifter med en speciallagstiftning. Å+t denna viktiga fråga har utskottet emellertid icke ägnat någon utredning. Det hade dock varit så mycket större anledning att göra detta, som det uppenbarligen måste komma att stå i vida fältet, huru det enda kvarstående grundlagsstadgandet på området, nämligen regeringsformens allmänna befordringsgrundsats — hänsyn »endast å de sökandes skicklighet och förtjänst» — skulle komma att i särskilda fall tillämpas av de utnämnande myndigheterna i fråga om </w:t>
      </w:r>
      <w:r>
        <w:rPr>
          <w:b/>
        </w:rPr>
        <w:t>kvinnor¹</w:t>
      </w:r>
      <w:r>
        <w:rPr>
          <w:b w:val="0"/>
        </w:rPr>
        <w:t>, vilka för ämbetena väl in-</w:t>
        <w:br/>
        <w:br/>
        <w:t xml:space="preserve">nehade teoretisk skicklighet, men i övrigt kunde vara mindre väl skickade att sköta desamma. På dessa grunder och då en sådan utsträckning av </w:t>
      </w:r>
      <w:r>
        <w:rPr>
          <w:b/>
        </w:rPr>
        <w:t>kvinnans¹</w:t>
      </w:r>
      <w:r>
        <w:rPr>
          <w:b w:val="0"/>
        </w:rPr>
        <w:t xml:space="preserve"> rätt till ämbeten, som utskottet förordar, icke synes oss vara till gagn för stat eller samhälle, hava vi yrkat avslag å motionen.»</w:t>
      </w:r>
    </w:p>
    <w:p>
      <w:pPr>
        <w:pStyle w:val="Heading2"/>
      </w:pPr>
      <w:r>
        <w:t>2. Knut von Geijer (–, man)</w:t>
      </w:r>
    </w:p>
    <w:p>
      <w:r>
        <w:rPr>
          <w:b w:val="0"/>
        </w:rPr>
        <w:t>Herr greve och talman! Vid ifrågavarande utlåtande föreligger en reservation, i vilken jag instämt, och jag ber därför att få säga några ord till försvar för densamma.</w:t>
        <w:br/>
        <w:br/>
        <w:t xml:space="preserve">Utskottet hemställer i detta utlåtande »att riksdagen, i anledning av förevarande motion måtte i skrivelse till Kungl. Maj:t anhålla, det täcktes Kungl. Maj:t låta utarbeta och för riksdagen framlägga förslag till sådana ändringar av regeringformen, att de hinder, denna grundlag uppställer för </w:t>
      </w:r>
      <w:r>
        <w:rPr>
          <w:b/>
        </w:rPr>
        <w:t>kvinnor¹</w:t>
      </w:r>
      <w:r>
        <w:rPr>
          <w:b w:val="0"/>
        </w:rPr>
        <w:t xml:space="preserve"> att bekläda statstjänster, måtte undanröjas. Det lagstadgande, som utskottet i denna del syftar på, är 8 28 i regeringsformen. Däri stadgas, att till innehavare av tjänster, för vilka Konungen utfärdar fullmakter, skola utses svenska män, med i samma paragraf angivna undantag för vissa där nämnda tiänster, vilka även kunna tilldelas </w:t>
      </w:r>
      <w:r>
        <w:rPr>
          <w:b/>
        </w:rPr>
        <w:t>kvinnor¹</w:t>
      </w:r>
      <w:r>
        <w:rPr>
          <w:b w:val="0"/>
        </w:rPr>
        <w:t>. Det är detta stadgande, som motionären har yrkat skulle borttagas ur regeringsformen, och konstitutionsutskottets majoritet har hemställt, att detta yrkande måtte bifallas.</w:t>
        <w:br/>
        <w:br/>
        <w:t xml:space="preserve">Till stöd för sitt yrkande har motionären anfört främst principiella skäl. Han anför sålunda, att den stora reform, som genomfördes under urtima riksdagen sistlidet år, i politiskt hänseende fullt likställde </w:t>
      </w:r>
      <w:r>
        <w:rPr>
          <w:b/>
        </w:rPr>
        <w:t>kvinna¹</w:t>
      </w:r>
      <w:r>
        <w:rPr>
          <w:b w:val="0"/>
        </w:rPr>
        <w:t xml:space="preserve"> och man. Vidare hänvisar han på att inom den civilrättsliga avdelningen lagförslag åvägabringas, som skulle till alla delar likställa man och </w:t>
      </w:r>
      <w:r>
        <w:rPr>
          <w:b/>
        </w:rPr>
        <w:t>kvinna¹</w:t>
      </w:r>
      <w:r>
        <w:rPr>
          <w:b w:val="0"/>
        </w:rPr>
        <w:t xml:space="preserve">. Och slutligen hänvisar han också till det nu ifrågavarande förhållandet, att i fråga om högre statstjänster. </w:t>
      </w:r>
      <w:r>
        <w:rPr>
          <w:b/>
        </w:rPr>
        <w:t>kvinnans¹</w:t>
      </w:r>
      <w:r>
        <w:rPr>
          <w:b w:val="0"/>
        </w:rPr>
        <w:t xml:space="preserve"> likställighet ännu icke är genomförd.</w:t>
        <w:br/>
        <w:br/>
        <w:t>Emellertid skall jag icke i detta sammanhang på något som helst sätt ingå på denna principiella sida av saken. Det är icke detta, som jag anser vara det huvudsakliga skälet för ett avslagsyrkande, utan det är endast sättet och formen för ifrågavarande reforms ernående. Utgångspunkten för mig är nämligen den, att av naturen en sådan gräns är uppdragen mellan de två olika avdelningarna av mänskligheten visavi färdigheter och anlag, att enligt mitt förmenande näppeligen någonsin den stund kan inträffa, då dessa verksamhetssfärer helt kunna sammanfalla. Det måste finnas vissa befattningar, förbehållna åt den ena avdelningen, vilka den andra icke kan bekläda. Det är för mig alldeles påtagligt, och vidare att om så är förhållandet, det också är nödvändigt, att man har bestämmelser, som fullt reglera dessa förhållanden, så att man vet, vilka befattningar, som böra höra under den ena och den andra avdelningen. Det är just detta, som nuvarande bestämmelse i regeringsformen täcker. För</w:t>
        <w:br/>
        <w:br/>
        <w:t xml:space="preserve">Om </w:t>
      </w:r>
      <w:r>
        <w:rPr>
          <w:b/>
        </w:rPr>
        <w:t>kvinnors¹</w:t>
      </w:r>
      <w:r>
        <w:rPr>
          <w:b w:val="0"/>
        </w:rPr>
        <w:t xml:space="preserve"> denna min synpunkt finner jag ett stöd i såväl motionen som även utbeklädende " skottets utlåtande. Motionären säger sålunda: »Att </w:t>
      </w:r>
      <w:r>
        <w:rPr>
          <w:b/>
        </w:rPr>
        <w:t>kvinnan¹</w:t>
      </w:r>
      <w:r>
        <w:rPr>
          <w:b w:val="0"/>
        </w:rPr>
        <w:t xml:space="preserve"> ej kan stalstjänst. . po i för ilitär f tt IN: torde li 1 = (Forts) komma ifråga t. ex. för rent militära befa ningar, torde ligga i sa kens natur och vara så självklart, att något stadgande därom ej behöver intagas i grundlagen, lika litet som det behöves grundlagsskydd för att hindra männen att intaga sådana platser i samhällslivet, som lämpligen förbehållas </w:t>
      </w:r>
      <w:r>
        <w:rPr>
          <w:b/>
        </w:rPr>
        <w:t>kvinnorna¹</w:t>
      </w:r>
      <w:r>
        <w:rPr>
          <w:b w:val="0"/>
        </w:rPr>
        <w:t xml:space="preserve">.» Även utskottet slår på samma strängar. På sid. 12 i utlåtandet heter det nämligen: »Från några banor måste </w:t>
      </w:r>
      <w:r>
        <w:rPr>
          <w:b/>
        </w:rPr>
        <w:t>hon²</w:t>
      </w:r>
      <w:r>
        <w:rPr>
          <w:b w:val="0"/>
        </w:rPr>
        <w:t xml:space="preserve"> sannolikt vara utestängd på grund av sitt kön. Dit höra icke blott den militära banan utan även t. ex. befattningar vid lotsstaten, vid bergsstaten o. s. v.&gt; Utskottet tillägger till stöd för denna uppfattning: »Vad särskilt angår befattningar vid bergsstaten, vore det tydligen en inkonsekvens att medgiva </w:t>
      </w:r>
      <w:r>
        <w:rPr>
          <w:b/>
        </w:rPr>
        <w:t>kvinna¹</w:t>
      </w:r>
      <w:r>
        <w:rPr>
          <w:b w:val="0"/>
        </w:rPr>
        <w:t xml:space="preserve"> tillträde till sådana, då man genom $ 18 av lagen den 29 juni 1912 ansett sig böra stadga, att </w:t>
      </w:r>
      <w:r>
        <w:rPr>
          <w:b/>
        </w:rPr>
        <w:t>kvinna¹</w:t>
      </w:r>
      <w:r>
        <w:rPr>
          <w:b w:val="0"/>
        </w:rPr>
        <w:t xml:space="preserve"> icke må användas till arbete under jord,i stenbrott eller gruva.» Det är som sagt denna omständighet, att det bör finnas ett lagstadgande härom, som gjort, att vi reservanter ha opponerat mot detta förslag, ty det finnes ingenting för närvarande stadgat angående den delen utom just den av mig åberopade 8 28 regeringsformen. Nu går konstitutionsutskottets yrkande ut på, att detta stadgande skulle borttagas, utan att så vitt jag kan finna, vare sig direkt i motiveringen eller framför allt av orden i klämmen angives, att stadgandet skulle ersättas av något annat. Det är den omständigheten, som gjort, att vi för vår del, såsom ärendet nu ligger, ansett oss icke ha annat val än att yrka rent avslag på ifrågavarande hemställan. Det förefaller mig fullkomligt tydligt, att innan man därvidlag häver ett stadgande, som fullt lagstiftar på området, man bör hava i sin hand möjlighet att bedöma, vad som skall komma i stället. Så är icke törhållandet i förevarande förslag. Här antydes ingenting annat, än att det skulle bli en speciell lagstiftning, men icke på något som helst sätt de riktlinjer, efter vilka denna skulle genomföras. Det har sedan årtionden tillbaka på området ägt rum reformer och förändringar, men detta har skett inom regeringsformens ram, och detta förefaller mig hava varit tillfyllestgörande. Skulle det behövas mer på detta område, nåväl, om det då kommer förslag, kan man taga dessa under omprövning. Det bör vara tämligen påtagligt att, om man ej hade något som helst stadgande i lagen om detta, konsekvensen komme att bli den, att </w:t>
      </w:r>
      <w:r>
        <w:rPr>
          <w:b/>
        </w:rPr>
        <w:t>kvinnorna¹</w:t>
      </w:r>
      <w:r>
        <w:rPr>
          <w:b w:val="0"/>
        </w:rPr>
        <w:t xml:space="preserve"> skulle anse, att alla tjänster borde vara öppna för dem. Sedermera skulle det befinnas, att detta icke vore överensstämmande med vare sig möjligheterna eller de praktiska förhållandena. Då bleve väl följden den oundvikliga, att Just detta missnöje, som motionären förmenar sig hava sport bland </w:t>
      </w:r>
      <w:r>
        <w:rPr>
          <w:b/>
        </w:rPr>
        <w:t>kvinnorna¹</w:t>
      </w:r>
      <w:r>
        <w:rPr>
          <w:b w:val="0"/>
        </w:rPr>
        <w:t xml:space="preserve"> över att vissa tjänster endast skulle vara förbehållna åt männen, komme att föreligga i mycket vidsträcktare mån, och deras tillfredsställelse därigenom skulle än mer förminskas.</w:t>
        <w:br/>
        <w:br/>
        <w:t>Herr greve och talman, jag finner på dessa rent formella skäl, att jag icke kan biträda utskottets hemställan, utan yrkar jag för min del avslag å såväl utskottets hemställan som den i ämnet väckta motionen.</w:t>
      </w:r>
    </w:p>
    <w:p>
      <w:pPr>
        <w:pStyle w:val="Heading2"/>
      </w:pPr>
      <w:r>
        <w:t>3. Otto von Zweigbergk (Liberala samlingspartiet, man)</w:t>
      </w:r>
    </w:p>
    <w:p>
      <w:r>
        <w:rPr>
          <w:b w:val="0"/>
        </w:rPr>
        <w:t xml:space="preserve">Det har som synes icke varit konstitutionsutskottets majoritets mening att försöka vid detta tillfälle utreda frågan, i vilken ökad utsträckning </w:t>
      </w:r>
      <w:r>
        <w:rPr>
          <w:b/>
        </w:rPr>
        <w:t>kvinnan¹</w:t>
      </w:r>
      <w:r>
        <w:rPr>
          <w:b w:val="0"/>
        </w:rPr>
        <w:t xml:space="preserve"> skall få tillträde till statens ämbeten. Den frågan har konstitutionsutskottet vid detta tillfälle icke givit sig in på och helt naturligt icke heller kunnat lösa. Det är en betydligt anspråkslösare fråga, som utskottet tagit upp till omprövning med anledning av den motion, som föreligger. Det, som utskottet velat uttala sig om, det är närmast helt enkelt den frågan. huru man bör tänka sig för framtiden, att själva llagstiftningstekniken på ifrågavarande område bör försiggå. Det är uppenbart, att efter det att statsmakterna medgivit </w:t>
      </w:r>
      <w:r>
        <w:rPr>
          <w:b/>
        </w:rPr>
        <w:t>kvinnan¹</w:t>
      </w:r>
      <w:r>
        <w:rPr>
          <w:b w:val="0"/>
        </w:rPr>
        <w:t xml:space="preserve"> full medborgarrätt, konsekvensen också kommer att fordra, att man i betydligt ökad utsträckning lämnar </w:t>
      </w:r>
      <w:r>
        <w:rPr>
          <w:b/>
        </w:rPr>
        <w:t>kvinnan¹</w:t>
      </w:r>
      <w:r>
        <w:rPr>
          <w:b w:val="0"/>
        </w:rPr>
        <w:t xml:space="preserve"> tillträde även till statens högre ämbeten. Det är ctt faktum, som förmodligen icke någon kan fördölja för sig. Då uppstår den frågan, huruvida det kan vara lämpligt att, såsom hittills skett, i grundlagen utgå från, såsom allmän regel, att endast män skola ha tillträde till dessa ämbeten. Det har synts konstitutionsutskottets majoritet, att en sådan anordning ur flera synpunkter är i hög erad olämplig. Det kan ticke längre vara skäligt att göra det </w:t>
      </w:r>
      <w:r>
        <w:rPr>
          <w:b/>
        </w:rPr>
        <w:t>kvinnliga¹</w:t>
      </w:r>
      <w:r>
        <w:rPr>
          <w:b w:val="0"/>
        </w:rPr>
        <w:t xml:space="preserve"> könet till uteslutningsgrund, till generell uteslutningsgrund på ifrågavarande område. Det synes tvärt om vara all anledning och i överensstämmelse med den tankegång, som nu accepterats i hela världen, att även i fråga om statens ämbeten låta dugligheten oberoende av börd och kön och dylika yttre förhållanden vara avgörande. Vid det förhållandet synes det vara lämpligast, alt grundlagen utgår från, såsom regel, att könet icke utgör hinder för </w:t>
      </w:r>
      <w:r>
        <w:rPr>
          <w:b/>
        </w:rPr>
        <w:t>kvinnor¹</w:t>
      </w:r>
      <w:r>
        <w:rPr>
          <w:b w:val="0"/>
        </w:rPr>
        <w:t xml:space="preserve"> att komma fram på ifrågavarande bana.</w:t>
        <w:br/>
        <w:br/>
        <w:t xml:space="preserve">Går man på den väg man hittills följt, skulle följden i rent tekniskt hänseende bli att man tid efter annan finge uti regeringsformens 8 28 införa i form av undantag nya medgivanden för </w:t>
      </w:r>
      <w:r>
        <w:rPr>
          <w:b/>
        </w:rPr>
        <w:t>kvinnorna¹</w:t>
      </w:r>
      <w:r>
        <w:rPr>
          <w:b w:val="0"/>
        </w:rPr>
        <w:t xml:space="preserve">. Dessa medgivanden komme med all säkerhet under de "år, som ligga närmast framför oss, att taga sådan omfattning, att hela denna paragra f måste få en rent oformlig karaktär. Redan av detta skäl har konstitutionsutskottets majoritet ansett, att det vore lämpligt, att man sloge in på en annan väg: läte det bli regel, att statens ämbeten skola stå öppna för såväl män som </w:t>
      </w:r>
      <w:r>
        <w:rPr>
          <w:b/>
        </w:rPr>
        <w:t>kvinnor¹</w:t>
      </w:r>
      <w:r>
        <w:rPr>
          <w:b w:val="0"/>
        </w:rPr>
        <w:t xml:space="preserve"> och gjorde de nödvändiga undantagen i form av en lagstiftning, varom Kungl. Maj:t och riksdagen finge ena sig efter vederbörlig utredning. Den omständigheten, att en sådan förändring icke omedelbart skulle kunna bringas till fullständig omsättning i praktiken, borde icke kunna möta några egentliga betänkligheter, då redan den ordning, vari det lagstiftades år 1909, då </w:t>
      </w:r>
      <w:r>
        <w:rPr>
          <w:b/>
        </w:rPr>
        <w:t>kvinnan¹</w:t>
      </w:r>
      <w:r>
        <w:rPr>
          <w:b w:val="0"/>
        </w:rPr>
        <w:t xml:space="preserve"> lämnades tillträde till högre lärarbefattningar, icke heller var av natur att omedelbart kunna praktiseras. Grundlagsändringen genomfördes 1909, men först 1918 förelåg det fullständiga reglemente, som gjorde det möjligt att bringa ifrågavarande reform till utförande. Min uppfattning är, att huru än den nuvarande majoriteten i första kammaren beslutar vid detta tillfälle, lärer det knappast vara tänkbart annat än att Kungl. Maj:t, då Kungl. Maj:t under den närmaste tiden torde bli tvungen att på fullt allvar</w:t>
        <w:br/>
        <w:br/>
        <w:t>giva sig in på detta område, måste finna det ändamålsenligt och praktiskt att följa den hänvisning konstitutionsutskottet här givit. Men det förefaller 'mig, som om det vore i sin ordning och ett stöd för Kungl. Maj:t, om även första kammaren ville giva sin anslutning till en tanke, som efter min mening är logiskt riktig och i överensstämmelse med hela den nuvarande tidsubvecklingen.</w:t>
        <w:br/>
        <w:br/>
        <w:t>På dessa grunder ber jag, herr talman, att få yrka bifall till konstitutionsutskottets förslag.</w:t>
      </w:r>
    </w:p>
    <w:p>
      <w:pPr>
        <w:pStyle w:val="Heading2"/>
      </w:pPr>
      <w:r>
        <w:t>4. Eliel Löfgren (Folkpartiet, man)</w:t>
      </w:r>
    </w:p>
    <w:p>
      <w:r>
        <w:rPr>
          <w:b w:val="0"/>
        </w:rPr>
        <w:t xml:space="preserve">Herr vice talman, mina herrar! Särskilt med anledning av de synpunkter, som framhållits i reservationen och som här i kammaren framförts av herr von Geijer, ber jag att få bringa till kammarens kännedom det förhållandet, att regeringen redan har sin uppmärksamhet fästad på denna fråga, och att man inom regeringen är fullständigt ense om att åtgärder böra vidtagas i den riktning konstitutiomsutskottet föreslagit. Förberedande åtgärder 1 detta syfte hava redan vidtagits inom justitiedepartementet, och det -hade varit min förhoppning att redan till denna riksdag kunna komma fram med resultatet av denna undersökning, med förslag till upphävande i grundlagen av det hinder, som nu finnes för </w:t>
      </w:r>
      <w:r>
        <w:rPr>
          <w:b/>
        </w:rPr>
        <w:t>kvinnan¹</w:t>
      </w:r>
      <w:r>
        <w:rPr>
          <w:b w:val="0"/>
        </w:rPr>
        <w:t xml:space="preserve"> att innehava statstjänster, men tyvärr har det till följd av långvariga sjukdomsfall blivit omöjligt att förverkliga detta syfte. Emellertid vill jag nämna så mycket, att den väg man närmast varit inne på just varit den, som nu av konstitutionsutskottet antytts såsom den lämpligaste, nämligen att genom bestämmelser av annan än grundlags natur — vare sig genom allmän lag eller administrativa föreskrifter — stadga de inskränkningar och undantag i </w:t>
      </w:r>
      <w:r>
        <w:rPr>
          <w:b/>
        </w:rPr>
        <w:t>kvinnas¹</w:t>
      </w:r>
      <w:r>
        <w:rPr>
          <w:b w:val="0"/>
        </w:rPr>
        <w:t xml:space="preserve"> behörighet till statstjänst, som kunna vara erforderliga. Med ändring i grundlagen i detta avseende följer givetvis också ändring i gällande instruktioner och avlöningsstater för de olika ämbetsverken, och för allt detta fordras en nog så ingående undersökning. Det är ju alldeles självfallet, att regeringen icke kommer fram till riksdagen med förslag till ändring i grundlagen utan att samtidigt föreslå det sätt, varpå man i praktiken tänkt sig att få hela frågan löst.</w:t>
        <w:br/>
        <w:br/>
        <w:t>Efter dessa upplysningar synes det mig icke böra föreligga hinder ens för dem, som anslutit sig till reservanternas mening, att genom att nu rösta för konstitutionsutskottets förslag giva Kungl. Maj:t önskat stöd i själva principfrågan. De betänkligheter, som reservanterna framfört, böra ju alldeles bortfalla, sedan från Kungl. Maj:ts sida, såsom här skett, förklarats, att en utredning av det slag (de antytt skall framläggas samtidigt med förslag till ändring 1 grundlagen.</w:t>
      </w:r>
    </w:p>
    <w:p>
      <w:pPr>
        <w:pStyle w:val="Heading2"/>
      </w:pPr>
      <w:r>
        <w:t>5. Samuel Clason (Första kammarens nationella parti, man)</w:t>
      </w:r>
    </w:p>
    <w:p>
      <w:r>
        <w:rPr>
          <w:b w:val="0"/>
        </w:rPr>
        <w:t>Med anledning av vad statsrådet och chefen för justitiedepartementet nyss yttrat vill Jag påpeka, att det dock, såvitt jag förstår är en rätt egendomlig ställning man givit åt hela denna fråga. Såvitt jag vet, har man aldrig gått så till väga, att riksdagen först skrivit till Kungl. Maj:t och begärt borttagande ur</w:t>
        <w:br/>
        <w:br/>
        <w:t xml:space="preserve">grundlagen av vissa betsämmelser, som stå där, och sedermera sökt Om </w:t>
      </w:r>
      <w:r>
        <w:rPr>
          <w:b/>
        </w:rPr>
        <w:t>kvinnors¹</w:t>
      </w:r>
      <w:r>
        <w:rPr>
          <w:b w:val="0"/>
        </w:rPr>
        <w:t xml:space="preserve"> få fram den nya lagstiftningen, utan när riksdagen tagit initiativ beredande av till en grundlagsändring av denna beskaffenhet har man lagat så, - Focal)</w:t>
        <w:br/>
        <w:br/>
        <w:t>att riksdagen själv begärt den nya lagstiftningen på samma gång.</w:t>
        <w:br/>
        <w:br/>
        <w:t xml:space="preserve">Herr von Zweigbergk hänvisade nu till ett prejudikat från år 1909, men så vitt jag förstår, är detta en mycket olycklig hänvisning. Då satte man nämligen samtidigt in i grundlagen, att de ämbeten, till vilka </w:t>
      </w:r>
      <w:r>
        <w:rPr>
          <w:b/>
        </w:rPr>
        <w:t>kvinnan¹</w:t>
      </w:r>
      <w:r>
        <w:rPr>
          <w:b w:val="0"/>
        </w:rPr>
        <w:t xml:space="preserve"> i vissa fall skulle äga tillträde, skulle bestämmas genom särskild lag. Om det denna gång varit fråga om att utbyta grundlagsstadgandet mot en dylik hänvisning, hade reservanternas ställning varit annorlunda. Men så har man icke velat gå till väga. Man har icke sagt ifrån, att i stället för det, som skulle borttagas ur grundlagen, skulle sättas en hänvisning till särskild lag, utan man vill slopa grundlagen utan vidare; faktiskt är nämligen klämmen skriven så, att där icke givits någon hänvisning till en särskild lag, såsom skedde år 1909.</w:t>
        <w:br/>
        <w:br/>
        <w:t>Även ur andra synpunkter är prejudikatet från år 1909 olyckligt. Ty just den omständigheten, att man då ändrade grundlagen utan att förut ha kommit överens om den särskilda lagens innehåll, har som bekant haft den påföljden, att grundlagsstadgandet länge blivit en lag endast på papperet. Nu har man velat säga, att det under sådana förhållanden icke gjorde någonting, om man även denna (gång ginge motsvarande väg. Men genom att gå den väg. på vilken utskottet nu slagit in, det vill säga att slopa allt i grundlagen utam någon hänvisning till speciallagstiftning, skulle resultatet bli. att den enda bestämmelse som stode kvar i grundlagen, skulle vara dess allmänna befordringsbestämmelse om skicklighet och förtjänst. Under sådana förhållanden finnes icke någon möjlighet att efteråt komma med denna speciallagstiftning, ty stå skicklighet ech förtjänst i grundlagen såsom den enda avgörande befordringsgrundsatsen, så kan denna endast efter ett grundlagsändringsbeslut inskränkas genom speciallagstiftning. Det är detta, som gör, att grundlagen och speciallagen stå varandra så nära, att de samtidigt måste behandlas.</w:t>
        <w:br/>
        <w:br/>
        <w:t>Nu har herr statsrådet lovat, att Kungl. Maj:t skall upptaga saken, och under sådana förhållanden kunde det ju vara ganska likgiltigt, vare sie man skriver till Kungl. Maj:t eller icke, men jag skall dock tillåta mig att göra några rent principiella anmärkningar.</w:t>
        <w:br/>
        <w:br/>
        <w:t xml:space="preserve">Jag vill då erinra därom, att såvitt jag förstår och såsom utskottet också tydligen menar, det icke på detta område föreligger den absoluta likställighet mellan man och </w:t>
      </w:r>
      <w:r>
        <w:rPr>
          <w:b/>
        </w:rPr>
        <w:t>kvinna¹</w:t>
      </w:r>
      <w:r>
        <w:rPr>
          <w:b w:val="0"/>
        </w:rPr>
        <w:t xml:space="preserve">, som varit utgångspunkten för utskottets ståndpunkt. Det finnes ovillkorligen och kommer alltid att finnas en del områden, där </w:t>
      </w:r>
      <w:r>
        <w:rPr>
          <w:b/>
        </w:rPr>
        <w:t>kvinnan¹</w:t>
      </w:r>
      <w:r>
        <w:rPr>
          <w:b w:val="0"/>
        </w:rPr>
        <w:t xml:space="preserve"> är mannen överlägsen, och jag har icke det ringaste emot, att dessa områden förbehållas </w:t>
      </w:r>
      <w:r>
        <w:rPr>
          <w:b/>
        </w:rPr>
        <w:t>kvinnan¹</w:t>
      </w:r>
      <w:r>
        <w:rPr>
          <w:b w:val="0"/>
        </w:rPr>
        <w:t xml:space="preserve">, såsom t. ex. då </w:t>
      </w:r>
      <w:r>
        <w:rPr>
          <w:b/>
        </w:rPr>
        <w:t>hon²</w:t>
      </w:r>
      <w:r>
        <w:rPr>
          <w:b w:val="0"/>
        </w:rPr>
        <w:t xml:space="preserve"> verkar som </w:t>
      </w:r>
      <w:r>
        <w:rPr>
          <w:b/>
        </w:rPr>
        <w:t>sjuksköterska³</w:t>
      </w:r>
      <w:r>
        <w:rPr>
          <w:b w:val="0"/>
        </w:rPr>
        <w:t xml:space="preserve">, barnlärarinna och en del andra områden. Men det finnes också alldeles bestämt andra områden, där mannen avgjort är </w:t>
      </w:r>
      <w:r>
        <w:rPr>
          <w:b/>
        </w:rPr>
        <w:t>kvinnan¹</w:t>
      </w:r>
      <w:r>
        <w:rPr>
          <w:b w:val="0"/>
        </w:rPr>
        <w:t xml:space="preserve"> överlägsen. ' Utskottet vill också erkänna detta, men jag tror,</w:t>
        <w:br/>
        <w:br/>
        <w:t xml:space="preserve">Om </w:t>
      </w:r>
      <w:r>
        <w:rPr>
          <w:b/>
        </w:rPr>
        <w:t>kvinnors¹</w:t>
      </w:r>
      <w:r>
        <w:rPr>
          <w:b w:val="0"/>
        </w:rPr>
        <w:t xml:space="preserve"> att det bör erkännas i mycket större utsträckning, än utskottet gjort.</w:t>
        <w:br/>
        <w:br/>
        <w:t xml:space="preserve">Alldeles särskilt skulle jag vilja påstå, att i en hel del högre administrativa ämbeten det intensiva hjärnarbete, ofta förenat med ett synnerligen intensivt nattarbete, som på dessa poster und&gt;;tundom förekommer, mycket snart skulle slita ut även en i "”vrigt mycket kvalificerad </w:t>
      </w:r>
      <w:r>
        <w:rPr>
          <w:b/>
        </w:rPr>
        <w:t>kvinna¹</w:t>
      </w:r>
      <w:r>
        <w:rPr>
          <w:b w:val="0"/>
        </w:rPr>
        <w:t>. Jag skulle i det fallet våga vädja till enfarenheten under sista tiden från de högre poster i departementen, där arbetet gått till sådan höjd, att man dag efter dag haft nattarbete kanske till kl. 4 eller 5 på morgonen, en arbetstid, som också med kvalificerat arbete kan förekomma inom de högre ämbetsverken.</w:t>
        <w:br/>
        <w:br/>
        <w:t xml:space="preserve">Utskottet har nu ställt sig på den ståndpunkten, att »först erfarenheten kan giva visshet om </w:t>
      </w:r>
      <w:r>
        <w:rPr>
          <w:b/>
        </w:rPr>
        <w:t>kvinnans¹</w:t>
      </w:r>
      <w:r>
        <w:rPr>
          <w:b w:val="0"/>
        </w:rPr>
        <w:t xml:space="preserve"> duglighet eller oduglighet». 'Det är enligt min tånke en alldeles oriktig ståndpunkt. Det är en fullkomligt individualistisk ståndpunkt, som ligger bakom detta, och som alldeles förgäter, att dessa högre ämbetens ändamål icke är att giva levebröd åt den ene eller den andre, utan att skaffa staten dugliga utövare av den del av statens verksamhet, som ingår i ämbetsverkens uppgifter. Och är det så, att staten har anledning att vara övertygad om att det ena könet i det fallet icke kan prestera samma arbete som det andra, jag menar, att </w:t>
      </w:r>
      <w:r>
        <w:rPr>
          <w:b/>
        </w:rPr>
        <w:t>kvinnan¹</w:t>
      </w:r>
      <w:r>
        <w:rPr>
          <w:b w:val="0"/>
        </w:rPr>
        <w:t xml:space="preserve"> i vissa fall icke har samma prestationsförmåga som mannen, är det ärligast att på förhand säga ifrån rent ut, att det är oriktiet både mot staten och </w:t>
      </w:r>
      <w:r>
        <w:rPr>
          <w:b/>
        </w:rPr>
        <w:t>henne²</w:t>
      </w:r>
      <w:r>
        <w:rPr>
          <w:b w:val="0"/>
        </w:rPr>
        <w:t xml:space="preserve"> att lämna </w:t>
      </w:r>
      <w:r>
        <w:rPr>
          <w:b/>
        </w:rPr>
        <w:t>henne²</w:t>
      </w:r>
      <w:r>
        <w:rPr>
          <w:b w:val="0"/>
        </w:rPr>
        <w:t xml:space="preserve"> tillträde till dessa högre administrativa ämbeten.</w:t>
        <w:br/>
        <w:br/>
        <w:t>Då säger man att det endast är fråga om en eller annan särskilt framstående kraft, som skulle nå dit, men man glömmer, att man genom att öppna porten på vid gavel, såsom utskottet vill och såvitt jag förstår, även Kungl. Maj:t avser, eftersom Kungl. Maj:t vill taga bort begränsningarna ur grundlagen, lockar in till tävlan på dessa banor stora skaror, som aldrig hinna fram, och detta utan att gagna vare sig dem själva eller staten.</w:t>
        <w:br/>
        <w:br/>
        <w:t xml:space="preserve">För övrigt vill jag på denna punkt påpeka även en annan omständighet. Det är icke så, att bestämmelserna i grundlagen äro det enda hinder, som föreligger för likställigheten. Det finnes för närvarande bestämmelser även på en hel del andra områden, exempelvis den, att en del tjänster förbehållas </w:t>
      </w:r>
      <w:r>
        <w:rPr>
          <w:b/>
        </w:rPr>
        <w:t>kvinnorna¹</w:t>
      </w:r>
      <w:r>
        <w:rPr>
          <w:b w:val="0"/>
        </w:rPr>
        <w:t xml:space="preserve">, såsom till exempel alla platser som </w:t>
      </w:r>
      <w:r>
        <w:rPr>
          <w:b/>
        </w:rPr>
        <w:t>kvinnliga¹</w:t>
      </w:r>
      <w:r>
        <w:rPr>
          <w:b w:val="0"/>
        </w:rPr>
        <w:t xml:space="preserve"> skrivbiträden. Ställer man sig nu på den absoluta likställighetens ståndpunkt, så bör man beträffande alla dessa befattningar styrka bort ordet »</w:t>
      </w:r>
      <w:r>
        <w:rPr>
          <w:b/>
        </w:rPr>
        <w:t>kvinnlig¹</w:t>
      </w:r>
      <w:r>
        <w:rPr>
          <w:b w:val="0"/>
        </w:rPr>
        <w:t xml:space="preserve">»; först därigenom har man dragit ut konsekvensen, och först därefter blir konkurrensen fullt öppen och fri mellan man och </w:t>
      </w:r>
      <w:r>
        <w:rPr>
          <w:b/>
        </w:rPr>
        <w:t>kvinna¹</w:t>
      </w:r>
      <w:r>
        <w:rPr>
          <w:b w:val="0"/>
        </w:rPr>
        <w:t xml:space="preserve">. Skall man gå in på denna likställighetens väg, duger det sålunda icke att säga, att vissa ämbeten skola förbehållas </w:t>
      </w:r>
      <w:r>
        <w:rPr>
          <w:b/>
        </w:rPr>
        <w:t>kvinnan¹</w:t>
      </w:r>
      <w:r>
        <w:rPr>
          <w:b w:val="0"/>
        </w:rPr>
        <w:t xml:space="preserve">, och andra skola stå öppna för både man och </w:t>
      </w:r>
      <w:r>
        <w:rPr>
          <w:b/>
        </w:rPr>
        <w:t>kvinna¹</w:t>
      </w:r>
      <w:r>
        <w:rPr>
          <w:b w:val="0"/>
        </w:rPr>
        <w:t>, utan man får då stryka varje hänsyn till könen utefter hela linjen, men jag undrar, om man verkligen är beredd att gå in på det?</w:t>
        <w:br/>
        <w:br/>
        <w:t xml:space="preserve">Jag vet, att man svarar, att en del tjänster förbehållits </w:t>
      </w:r>
      <w:r>
        <w:rPr>
          <w:b/>
        </w:rPr>
        <w:t>kvinnan¹</w:t>
      </w:r>
      <w:r>
        <w:rPr>
          <w:b w:val="0"/>
        </w:rPr>
        <w:t xml:space="preserve">, därför att mannen icke kan existera på så låg avlöning som ett </w:t>
      </w:r>
      <w:r>
        <w:rPr>
          <w:b/>
        </w:rPr>
        <w:t>kvinnligt¹</w:t>
      </w:r>
      <w:r>
        <w:rPr>
          <w:b w:val="0"/>
        </w:rPr>
        <w:t xml:space="preserve"> skrivbiträde, men då ger sig staten in på en åskådning,</w:t>
        <w:br/>
        <w:br/>
        <w:t xml:space="preserve">som staten enligt reformens förfäktares principer icke har rätt att gå in på. För resten är jag fullständigt övertygad om, att om man gör tillträdet till alla ämbeten fritt för såväl man som </w:t>
      </w:r>
      <w:r>
        <w:rPr>
          <w:b/>
        </w:rPr>
        <w:t>kvinna¹</w:t>
      </w:r>
      <w:r>
        <w:rPr>
          <w:b w:val="0"/>
        </w:rPr>
        <w:t xml:space="preserve">, det stora flertalet av dessa biträdesbefattningar skulle erhålla manliga sökande, som skulle sköta dem fullt ut lika bra som </w:t>
      </w:r>
      <w:r>
        <w:rPr>
          <w:b/>
        </w:rPr>
        <w:t>kvinnor¹</w:t>
      </w:r>
      <w:r>
        <w:rPr>
          <w:b w:val="0"/>
        </w:rPr>
        <w:t>.</w:t>
        <w:br/>
        <w:br/>
        <w:t xml:space="preserve">Jag skall tillåta mig att även erinra om en annan fråga, eftersom nu en utredning på området synes förestå, nämligen penslonsfrågan. Jag tänker då icke närmast på den sidan av saken, som gäller avvägandet av </w:t>
      </w:r>
      <w:r>
        <w:rPr>
          <w:b/>
        </w:rPr>
        <w:t>kvinnans¹</w:t>
      </w:r>
      <w:r>
        <w:rPr>
          <w:b w:val="0"/>
        </w:rPr>
        <w:t xml:space="preserve"> pension gentemot mannens, därför att man måste ge </w:t>
      </w:r>
      <w:r>
        <w:rPr>
          <w:b/>
        </w:rPr>
        <w:t>kvinnan¹</w:t>
      </w:r>
      <w:r>
        <w:rPr>
          <w:b w:val="0"/>
        </w:rPr>
        <w:t xml:space="preserve"> en lägre pensionsålder än mannen, och icke heller på den sidan av frågan, som gäller avvägandet av </w:t>
      </w:r>
      <w:r>
        <w:rPr>
          <w:b/>
        </w:rPr>
        <w:t>hennes²</w:t>
      </w:r>
      <w:r>
        <w:rPr>
          <w:b w:val="0"/>
        </w:rPr>
        <w:t xml:space="preserve"> avlöningsbestämmelser, eftersom </w:t>
      </w:r>
      <w:r>
        <w:rPr>
          <w:b/>
        </w:rPr>
        <w:t>hon²</w:t>
      </w:r>
      <w:r>
        <w:rPr>
          <w:b w:val="0"/>
        </w:rPr>
        <w:t xml:space="preserve"> ju under vissa perioder förmodligen icke kan prestera lika effektivt arbete som mannen, utan jag tänker på en annan sida av saken, nämligen </w:t>
      </w:r>
      <w:r>
        <w:rPr>
          <w:b/>
        </w:rPr>
        <w:t>änkepensionen²</w:t>
      </w:r>
      <w:r>
        <w:rPr>
          <w:b w:val="0"/>
        </w:rPr>
        <w:t xml:space="preserve">. Nu skall mannen betala pensionsavgift icke endast för sig själv, utan även för sin </w:t>
      </w:r>
      <w:r>
        <w:rPr>
          <w:b/>
        </w:rPr>
        <w:t>hustru²</w:t>
      </w:r>
      <w:r>
        <w:rPr>
          <w:b w:val="0"/>
        </w:rPr>
        <w:t xml:space="preserve">. Skall </w:t>
      </w:r>
      <w:r>
        <w:rPr>
          <w:b/>
        </w:rPr>
        <w:t>kvinnan¹</w:t>
      </w:r>
      <w:r>
        <w:rPr>
          <w:b w:val="0"/>
        </w:rPr>
        <w:t xml:space="preserve"> bliva jämlik i fråga om ämbeten, fordrar konsekvensen på denna punkt, att den </w:t>
      </w:r>
      <w:r>
        <w:rPr>
          <w:b/>
        </w:rPr>
        <w:t>kvinna¹</w:t>
      </w:r>
      <w:r>
        <w:rPr>
          <w:b w:val="0"/>
        </w:rPr>
        <w:t xml:space="preserve">, som är anställd i statstjänst, också skall betala pensionsavgift för att vid </w:t>
      </w:r>
      <w:r>
        <w:rPr>
          <w:b/>
        </w:rPr>
        <w:t>hennes²</w:t>
      </w:r>
      <w:r>
        <w:rPr>
          <w:b w:val="0"/>
        </w:rPr>
        <w:t xml:space="preserve"> bortgång </w:t>
      </w:r>
      <w:r>
        <w:rPr>
          <w:b/>
        </w:rPr>
        <w:t>hennes²</w:t>
      </w:r>
      <w:r>
        <w:rPr>
          <w:b w:val="0"/>
        </w:rPr>
        <w:t xml:space="preserve"> efterlevande make skall erhålla pension. Detta förefaller oss originellt för att icke säga absurt, men från synpunkten av vad som frågan här gäller, är det dock icke det. Antag t. ex. att en manlig ämbetsman är gift med en </w:t>
      </w:r>
      <w:r>
        <w:rPr>
          <w:b/>
        </w:rPr>
        <w:t>kvinnlig¹</w:t>
      </w:r>
      <w:r>
        <w:rPr>
          <w:b w:val="0"/>
        </w:rPr>
        <w:t xml:space="preserve"> ämbetsman, så skulle han få betala pensionsavgifter dels för sin egen och dels för </w:t>
      </w:r>
      <w:r>
        <w:rPr>
          <w:b/>
        </w:rPr>
        <w:t>hustruns²</w:t>
      </w:r>
      <w:r>
        <w:rPr>
          <w:b w:val="0"/>
        </w:rPr>
        <w:t xml:space="preserve"> pensionering, och när </w:t>
      </w:r>
      <w:r>
        <w:rPr>
          <w:b/>
        </w:rPr>
        <w:t>hustrun²</w:t>
      </w:r>
      <w:r>
        <w:rPr>
          <w:b w:val="0"/>
        </w:rPr>
        <w:t xml:space="preserve"> bieve pensionsberättigad, skulle </w:t>
      </w:r>
      <w:r>
        <w:rPr>
          <w:b/>
        </w:rPr>
        <w:t>hon²</w:t>
      </w:r>
      <w:r>
        <w:rPr>
          <w:b w:val="0"/>
        </w:rPr>
        <w:t xml:space="preserve"> eventuellt få uppbära två pensioner, men då mannen lämnat sitt ämbete, skulle han icke få uppbära mer än en pension. Det blir ju ingen likställighet, men där öppnas alltså också ett problem av ganska stor räckvidd, som man synes böra hava löst, innan man slopar grundlagsbestämmelserna.</w:t>
        <w:br/>
        <w:br/>
        <w:t>Jag skulle slutligen vilia påpeka ännu en punkt, där för närvarande likställighet icke råder. Det gäller frågan om värnplikten. Man kan icke bortresonera det faktum, att en stor del av männen för närvarande äro underkastade värnpliktstjänstgöring, som för studenter och likställda nu uppgår till 500 dagar. Det betyder, att de manliga aspiranterna till ämbetena äro handikapade med långt över ett års studietid. Det är icke heller någon rättvisa i detta, men skall man hava rättvisa, måste man taga hänsyn till den omständigheten, så att icke en del av aspiranterna bliva handikapade till ämbeten, medan andra släppas fram och ostörda kunna få bedriva sina studier, så att de komma fortare fram till sina ämbeten.</w:t>
        <w:br/>
        <w:br/>
        <w:t>Allt detta har utskottet gått förbi. Utskottet vill blott taga bort skrankorna utan att säga, på vad sätt utvecklingen skall läggas. Det är emellertid visst icke säkert, att denna sak ens formellt är klar. Det finns många utvägar att välja. Utskottet har talat om civillagstiftning. Herr statsrådet talade därjämte om administrativa förfoganden. « Jag skulle vilja fråga: är man fullkomligt säker och trygg att frågan får en utveckling, som är lycklig, vare sig man väljer den ena eller den andra vägen, vare sig civillagstiftning eller Kungl. Maj:ts administrativa förfoganden? Det finnes för övrigt</w:t>
        <w:br/>
        <w:br/>
        <w:t>redd, innan man begär att få bort bestämmelsen i grundlagen.</w:t>
        <w:br/>
        <w:br/>
        <w:t>Nu har, såvitt jag förstår, herr statsrådet ställt i utsikt, att det vore regeringens mening att verkställa en utredning, innan regeringen kommer in med förslag till grundlagsändring i frågan. Under sådana förhållanden kunde det ju vara likgiltigt, vilken ståndpunkt man ställer sig på, men nog vill jag för min del säga, att riksdagen står på den säkra sidan, om riksdagen icke vidtager någon grundlagsändring för att få bort bestämmelsen ur grundlagen, innan riksdagen får se, vad som föreslås av den regering, som kan sitta, då den frågan omsider kommer före. :</w:t>
        <w:br/>
        <w:br/>
        <w:t>Jag vidhåller alltså mitt m. fl. reservanters avslagsyrkande.</w:t>
      </w:r>
    </w:p>
    <w:p>
      <w:pPr>
        <w:pStyle w:val="Heading2"/>
      </w:pPr>
      <w:r>
        <w:t>6. unknown (–, –)</w:t>
      </w:r>
    </w:p>
    <w:p>
      <w:r>
        <w:rPr>
          <w:b w:val="0"/>
        </w:rPr>
        <w:t>Herr greve och talman! Genom det inlägg, som herr statsrådet och chefen för justitiedepartementet nyss gjorde, har ärendet kommit i ett annat läge, det vill jag gärna medgiva. Men jag kan dock å andra sidan icke underlåta att i detta sammanhang framhålla, att under ärendets behandling i konstitutionsutskottet denna regeringens hållning icke på något som helst sätt antyddes. Därigenom 'har ju kanske också ärendets behandling blivit något annorlunda än den skulle hava blivit, därest detta sakförhållande varit känt. Det framgick kanske av mitt anförande som Jag höll nyss, att jag icke var av den uppfattningen, att det är alldeles nödvändigt, att ifrågavarande lagstiftning återfinnes i grundlagen, utan att den kan vara även i en civillag. Den omständigheten att den har kommit in i vår grundlag, där den varit av ålder — så långt man kan spåra tillbaka hava stadgarna därom funnits — gör det i och för sig icke alldeles nödvändigt att bibehålla den, men jag begagnar ännu en gång tillfället att understryka, att det dock haft den fördelen med sig, att det har definierat hela rättsförhållandet, täckt alla de fall, som där kunna komma i fråga. Nu skulle jag vilja säga — det blir visserligen i någon mån ett upprepande av vad den siste ärade talaren anförde — men Jag vill ändå begagna tillfället understryka, att jag delar hans mening därvidlag att det tyder på att det blir rätt så vidlyftigt och rätt så svåra förhållanden att överblicka, som kunna komma i stället, om man tager in dem i en civillag. Herr statsrådet antydde, att det skulle kunna bliva gjort även på administrativ väg och genom riksdagens ingripande. Det är verkligen så att, om man nu genom ett anförande från statsrådsbänken därvidlag skall så här hastigt, i ett ögonblick, ändra sin hållning, förefaller det mig ändå vara rätt svårt. J ag kan icke se, att ett avslag från första kammarens sida på något som helst sätt skulle kunna förhindra den utredning, som herr justitieministern</w:t>
        <w:br/>
        <w:br/>
        <w:t xml:space="preserve">ställt i utsikt, och jag förenar mig helt med den siste ärade talaren Om </w:t>
      </w:r>
      <w:r>
        <w:rPr>
          <w:b/>
        </w:rPr>
        <w:t>kvinnors¹</w:t>
      </w:r>
      <w:r>
        <w:rPr>
          <w:b w:val="0"/>
        </w:rPr>
        <w:br/>
        <w:br/>
        <w:t>däri att det ändock förefaller mig vara nödvändigt, att innan man tager bort det, som jag sagt, strängt taget enda stadgandet på området utan att se någon riktlinje huru det skall gå, endast på ett löfte från regeringsbänken att utredning därom skall äga rum, att, säger jag. naturligtvis icke detta stadgande i regeringsformen skall tagas bort. förrän man har full garanti att andra nödvändiga supplerande lagbestämmelser föreligga till antagande.</w:t>
        <w:br/>
        <w:br/>
        <w:t>Jag kan måhända i detta sammanhang icke underlåta att säga, att man ju icke vet, när detta lagförslag en gång blir färdigt, vem som 'kommer att bära fram det och ej heller huru det kommer att tagas emot av den då sittande och beslutande riksdagen. Då man icke vet dessa omständigheter, skulle kanske följden kunna bliva den, som Jag redan antytt, att man bara toge bort, vad man hade, men icke visste vad man finge i stället, en rätt så ösäker ståndpunkt för ett beslut i frågan. Jag upprepar ännu en gång, att jag just ser i detta att därigenom verkligen den olägenheten kan "uppkomma, att man lockar in rätt så många att söka evertuera sig på vissa banor, vilka genom utredningens resultat sedermera befinnes icke vara lämpade för de befattningar de sökt bereda sig för. Jag ser dock olägenheten däri icke precis så hårt som motionären, att det skulle bliva en kamp könen emellan, men att det skulle bliva rätt så mycken bortkastad tid och kostnad.</w:t>
        <w:br/>
        <w:br/>
        <w:t>Under sådana förhållanden, herr greve och talman, finner jag för min del icke anledning att för närvarande ändra mitt yrkande utan vidhåller detsamma.</w:t>
      </w:r>
    </w:p>
    <w:p>
      <w:pPr>
        <w:pStyle w:val="Heading2"/>
      </w:pPr>
      <w:r>
        <w:t>7. Otto von Zweigbergk (Liberala samlingspartiet, man)</w:t>
      </w:r>
    </w:p>
    <w:p>
      <w:r>
        <w:rPr>
          <w:b w:val="0"/>
        </w:rPr>
        <w:t xml:space="preserve">Det synes mig vara rättvist, att man en liten smula reagerar mot de upprepade påståenden, som göras från reservanternas sida, att konstitutionsutskottets majoritet tänkt sig saken så, att det, som borde göras allenast vore ett fristående bortvagande ur regringsformens 28 $ av de hinder, som där upprests mot «vinnas tillträde till statsämbeten. Så är emellertid icke förhållandet. Ett utskottsbetänkande består, som bekant, både av kläm och motivering, och i motiveringen till denna kläm, som här föreligger, finns ganska tydligt uttryckt, att utskottet haft klart för sig, att det icke går för sig att helt enkelt endast avlägsna ifrågavarande bestämmelser ur grundlagen. Utskottet yttrar nämligen på sid. 13: »Det spörsmålet yppar sig då, huruvida det är lämpligare att såsom nu i grundlagen avgöra, vilka ämbeten stå öppna för </w:t>
      </w:r>
      <w:r>
        <w:rPr>
          <w:b/>
        </w:rPr>
        <w:t>kvinna¹</w:t>
      </w:r>
      <w:r>
        <w:rPr>
          <w:b w:val="0"/>
        </w:rPr>
        <w:t xml:space="preserve"> och vilka äro för </w:t>
      </w:r>
      <w:r>
        <w:rPr>
          <w:b/>
        </w:rPr>
        <w:t>henne²</w:t>
      </w:r>
      <w:r>
        <w:rPr>
          <w:b w:val="0"/>
        </w:rPr>
        <w:t xml:space="preserve"> stängda, eller att hänvisa dessa regler till annan lagstiftning, som är föremål för Konungs och riksdags gemensamma beslut.» Det är de båda alternativen. Konstitutionsutskottets majoritet har bestämt sig för den senare vägen, därmed angivande, att i sammanhang med borttagandet av ifrågavarande bestämmelse ur grundlagen, skall man reglera dessa förhållanden genom en lagstiftning, som är föremål för Konungs och riksdags gemensamma beslut.</w:t>
        <w:br/>
        <w:br/>
        <w:t>Om det nu förelegat någon möjlighet att säga, att konstitutionsutskottets betänkande, dess kläm och motivering tillsammantagna</w:t>
        <w:br/>
        <w:br/>
        <w:t xml:space="preserve">Om </w:t>
      </w:r>
      <w:r>
        <w:rPr>
          <w:b/>
        </w:rPr>
        <w:t>kvinnors¹</w:t>
      </w:r>
      <w:r>
        <w:rPr>
          <w:b w:val="0"/>
        </w:rPr>
        <w:t xml:space="preserve"> vore så illa formulerat, att man kunde riskera att Kungl. Maj:t skulle beklädande av på ett ödesdigert sätt kunna missförstå den anvisning, konstitutions-</w:t>
        <w:br/>
        <w:br/>
        <w:t>utskottet givit, och inkomma med förslag till lagbestämmelser, som medförde alla de risker reservanterna nu utmålat, borde den farhågan</w:t>
        <w:br/>
        <w:br/>
        <w:t>"vara försvunnen i samma stund Kungl. Maj:t här meddelar, att</w:t>
        <w:br/>
        <w:br/>
        <w:t>Kungl. Maj:t har fullkomligt klart för sig, att det icke kan vara någon tanke på att gå den väg, reservanterna presumerat möjlig. Därmed borde den formella invändning, reservanterna gjort, till sin huvudsakliga del hava förlorat hela sin reella innebörd; och det synes mycket svårt att förstå, varför reservanterna under sådana förhållanden vidhålla sin ståndpunkt. Då en man, sådan som konstitutionsutskottets vice ordförande, också kommer till det resultat, att det synes vara skäligen likgiltigt, om första kammaren här gör det ena eller det andra, och då man här förnummit, att Kungl. Maj:ts regering skulle vara tacksam för ett understöd, sedan de befarade olägenheterna äro undanröjda, synes det mig, som om majoriteten i kammaren, som icke på ett tidigare skede bundit sig, med gott samvete skulle kunna ge sitt samtycke till vad konstitutionsutskottets majoriet här föreslagit.</w:t>
      </w:r>
    </w:p>
    <w:p>
      <w:pPr>
        <w:pStyle w:val="Heading2"/>
      </w:pPr>
      <w:r>
        <w:t>8. Samuel Clason (Första kammarens nationella parti, man)</w:t>
      </w:r>
    </w:p>
    <w:p>
      <w:r>
        <w:rPr>
          <w:b w:val="0"/>
        </w:rPr>
        <w:t>Jag tror mig verkligen icke hava sagt, att det vore skäligen likgiltigt om första kammaren antager eller första kammaren avslår utskottets betänkande. Om jag så sagt, har jag uttryckt mig ofullständigt. Jag menade maturligtvis, att detta kunde vara skäligen likgiltigt för dem, som äro anhängare av reformen, eftersom Kungl. Maj:ts regering yttrat, att Kungl. Maj:ts regering kommer att under alla förhållanden anordna en utredning 1 frågan.</w:t>
        <w:br/>
        <w:br/>
        <w:t>Varför det åter icke är likgiltigt för oss reservanter, är av både reella och formella skäl. Av formella skäl, ty såvitt jag förstår, har riksdagens första kammare och konstitutionsutskottet aldrig gått till väga på det sättet, att utskottet skrivit en kläm och en motivering, som så litet hängt ihop som dessa, och att utskottet begärt en grundlagsändring med tanke på att något skall sättas i stället för det stadgande, som skall bort, men utan att giva sig in på frågan hur det skall utformas, som skall sättas i stället. Nu har den siste talaren sagt, att han tänkte sig möjligheten, att detta nya skulle sättas in i en civillag, men därmed är icke saken klar. Riktlinjerna för vad denna civillag skulle innehålla äro nämligen därmed icke utformade.</w:t>
        <w:br/>
        <w:br/>
        <w:t>Vidare är det icke heller likgiltigt för oss av reella skäl, ty om vi skulle kunna understödja denna utredning, skulle vi velat ha den på en vida bredare basis än utskottet här föreslår i sin motivering, som åter skulle bliva riksdagens skrivelse, om kammaren bifaller utskottets skrivelseförslag. Utskottsmajoritetens motivering är nämligen skriven uteslutande från den abstrakta likställighetsgrunden. Det är denna, som den understryker gång efter annan. Jag åter har tillåtit mig understryka en hel del andra omständigheter, som enligt mitt förmenande måste tagas i betraktande i frågan, och som jag anser vara lika viktiga, om man skall komma till ett tillfreds-</w:t>
        <w:br/>
        <w:br/>
        <w:t>ställande resultat. Om det vore så, att utskottsmajoritetens hemställan och riksdagsskrivelsen pekade på alla dessa omständigheter, skulle saken ligga annorlunda, men nu är utskottsmajoritetens och alltså den blivande riksdagsskrivelsens mening synnerligen ensidigt utvecklad. Därför vidhåller jag både av formella och reella skäl vad jag yrkat.</w:t>
      </w:r>
    </w:p>
    <w:p>
      <w:pPr>
        <w:pStyle w:val="Heading2"/>
      </w:pPr>
      <w:r>
        <w:t>9. Otto Mannheimer (Liberala samlingspartiet, man)</w:t>
      </w:r>
    </w:p>
    <w:p>
      <w:r>
        <w:rPr>
          <w:b w:val="0"/>
        </w:rPr>
        <w:t xml:space="preserve">Det är tråkigt att behöva upprepa vad som från utskottsmajoritetens sida i denna angelägenhet förut framhållits, men jag kan icke underlåta att med anledning av den siste ärade talarens yttrande göra ett par erinringar. Han framhöll, att utskottsmajoriteten utgått från, att det skulle vara full likställighet mellan man och </w:t>
      </w:r>
      <w:r>
        <w:rPr>
          <w:b/>
        </w:rPr>
        <w:t>kvinna¹</w:t>
      </w:r>
      <w:r>
        <w:rPr>
          <w:b w:val="0"/>
        </w:rPr>
        <w:t xml:space="preserve"> på detta område. Det har framhållits av herr von Zweigbergk vid två tillfällen under denna debatt, att utskottsmajoriteten haft fullt klart för sig, att det behövs särskilda bestämmelser för att reglera denna visst icke lättlösta fråga. Herr von Zweigbergk läste upp det yttrande i utskottets utlåtande, däri det framhålles, att det erfordras civillagsbestämmelser för att man skall kunna få frågan reglerad. Herr Clasons anmärkningar mot utskottets hemställan äro därför alldeles obefogade. Utskottet har begärt, att Kungl. Maj:t skulle utarbeta förslag, varigenom man får bort dessa bestämmelsr ur grundlagen. Det är kärnpunkten i utskottets utlåtande. Utskottet har naturligtvis haft fullkomligt klart för sig, att ett borttagande ur grundlagen av dessa bestämmelser icke kan göras utan att det kommer andra bestämmelser i stället, men dessa bestämmelser skola icke stå i grundlagen, utan utgöras av vanliga civillagsstadganden. Det är som sagt utskottets tankegång. Nu frågar jag: På vad sätt är riksdagen eller denna kammare bunden, om Kungl. Maj:t följer utskottets uppmaning och kommer fram med ett förslag, varigenom Kungl. Maj:t tagit bort dessa bestämmelser ur orundlagen? På vad sätt är riksdagens första kammare bunden att antaga detta, om kammaren godkänner utskottets hemställan? I ingen mån är första kammaren bunden. Första kammaren har fullkomligt fria händer och kammaren kan säga ja eller nej till den lagstiftning. som behöver dess medverkan för att ersätta nu gällande grundlagsbestämmelser. Första kammaren begär ingenting annat än att vi skola få bort dessa bestämmelser ur grundlagen. Det är det enda. som begäres. Att dessa bestämmelser måste efterträdas av anidra framgår redan av den mycket enkla omständigheten att, om man blott velat taga bort bestämmelserna ur grundlagen, hade detta varit ett ytterst lätt utfört redigeringsarbete, och utskottet hade icke behövt gå till Kungl. Maj:t med begäran om dess medverkan för den saken. Men nu är denna sak ur flera synpunkter så pass invecklad, att utskottet med skäl behövt ingå till Kungl. Maj:t med begäran om en genom Kungl. Maj:ts försorg verkställd utredning av de många frågor, som äro förbundna med denna sak.</w:t>
        <w:br/>
        <w:br/>
        <w:t>Jag yrkar bifall till utskottets hemställan.</w:t>
        <w:br/>
        <w:br/>
        <w:t>Att häradshövdingen Ivar Öhman på grund av spanska sjukan tillsvidare är urståndsatt att bevista riksdagens sammanträden, intygas.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332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