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341</w:t>
      </w:r>
    </w:p>
    <w:p>
      <w:r>
        <w:rPr>
          <w:b/>
        </w:rPr>
        <w:t xml:space="preserve">Datum: </w:t>
      </w:r>
      <w:r>
        <w:t>1919-05-24</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Jacob Spens (Första kammarens nationella parti, man)</w:t>
      </w:r>
    </w:p>
    <w:p>
      <w:r>
        <w:rPr>
          <w:b w:val="0"/>
        </w:rPr>
        <w:t>Efter den utredning i ärendet, som Kungl. Maj:t förebragt, är det ju otvivelaktigt så, att de nu befintliga skyddshemmen ej äro tillräckliga för att intaga alla de vanartade barn, för vilka barnavårdsnämnderna begära inträde i desamma. Icke desto mindre hava vi reservanter inom utskottet förfäktat den åsikten, att landstingen och de städer, som ej deltaga i landsting, ej nu böra tvångsvis åläggas att upprätta skyddshem, och särskilt ej inom den korta tid intill den 1 januari 1922, som utskottet nu föreskrivit, ehuru utskottet dock förlängt den tid, vilken var medgiven i Kungl. Maj:ts förslag. Även den av utskottet föreskrivna tiden är nämligen alldeles för kort.</w:t>
        <w:br/>
        <w:br/>
        <w:t>Om nu utskottets förslag antages av riksdagen och frågan förekommer vid landstingen i höst, så vilja landstingen nog i allmänhet först tillsätta en kommitté, som till nästa års landsting, d. v. s. 1920 års landsting, uppgör förslag till plats för och kostnadsförslag för anstaltens upprättande och vidmakthållande. Även om landstinget då skulle godkänna kommitténs förslag, vilket ju icke är säkert, skulle landstinget hava ungefär ett år — litet över ett år — på sig för att inköpa mark och därå uppföra skyddshemmet. Men detta torde knappast i något enstaka fall kunna medhinnas. Man skall även betänka, att landstingen fått sig en hel del annan nybyggnadsskyldighet ålagd. Den nu pågående riksdagen har för omkring en vecka sedan ålagt landstingen att uppföra epidemisjukhus på lämpliga platser inom landstingsområdet, och landstingens befattning med sjukvården iövrigt kräver, att landstingen ofta få utvidga lasarett och sjukstugor samt bygga nya sådana, vilket kräver ofantliga kostnader. Under de närmaste åren blir det även synnerligen dyrbart att bygga på grund av tidsförhållandena, och även detta manar till att giva landstingen någon tid på sig att uppföra skyddshem.</w:t>
        <w:br/>
        <w:br/>
        <w:t>En alldeles särskild anledning, och detta kanske den allra viktigaste, att nu ej ålägga landstingen skyldighet att bygga skyddshem anser jag emellertid ligga däri, att fattigvårdslags-</w:t>
        <w:br/>
        <w:br/>
        <w:t>stiftningskommittén, som håller på att utarbeta en fullständigt ny</w:t>
        <w:br/>
        <w:br/>
        <w:t>lagstiftning rörande barnavården, har för avsikt att föreslå, att staten skall helt och hållet övertaga de mera svårbehandlade och psykiskt belastade vanartade barnen. Innan det blivit bestämt, huruvida och i vilken utsträckning staten kommer att göra detta, sakna landstingen tillräckligt säker grund för att beräkna, huru stora de skola tilltaga sina nya skyddshem. Härtill kommer, såsom utskottet påpekar, att det har uttalats önskemål om upprättande av större skyddshem, gemensamma för flera landstingsområden, där eleverna kunde utbildas i olika yrken alltefter deras olika håg och fallenhet. Även detta torde böra utredas, och det kommer nog att ske genom fattigvårdslagstiftningskommitténs försorg. Jag tror icke heller för min del, att det är någon egentlig</w:t>
        <w:br/>
        <w:br/>
        <w:t>fara i att något se tiden an med denna fråga. Många landsting hålla nu på att bygga, såsom redan är anfört av herr Fant, och landstingen komma att uppmuntras därtill av de höjda statsbidragen till underhåll av eleverna å skyddshem, som förut beslutats av denna riksdag. Många av de barn, som ifrågasättas till intagande i skyddshem, kunna även överlämnas till barnhem eller enskilda hem i långt större utsträckning än nu. Dessutom kunna många nu befintliga skyddshem utvidgas, särskilt genom den av utskottet tillstyrkta ändringen av 15 $ i lagen. Att hoppas är ju även, att med återgången till mera normala förhållanden skyddshemmen skola mindre behöva anlitas.</w:t>
        <w:br/>
        <w:br/>
        <w:t xml:space="preserve">Slutligen skall jag även be att få påpeka, att då gossar och </w:t>
      </w:r>
      <w:r>
        <w:rPr>
          <w:b/>
        </w:rPr>
        <w:t>flickor²</w:t>
      </w:r>
      <w:r>
        <w:rPr>
          <w:b w:val="0"/>
        </w:rPr>
        <w:t xml:space="preserve"> ej få intagas i samma skyddshem, utskottets förslag innebär, att varje landstimgsområde skall hava skyldighet att uppföra två skyddshbem, ett för gossar och ett för </w:t>
      </w:r>
      <w:r>
        <w:rPr>
          <w:b/>
        </w:rPr>
        <w:t>flickor²</w:t>
      </w:r>
      <w:r>
        <w:rPr>
          <w:b w:val="0"/>
        </w:rPr>
        <w:t>. Då emellertid för närvarande intet landstingsområde har behov av skyddshem för fickor, enär anstalten Sjötorp och de enskilda skyddshemmen äro tillräckliga för dem, skulle alla landstingen nödgas gå in till Kungl. Maj:t och anhålla om befrielse från att bygga sådana skyddshem. Men ett så obehövligt åläggande för landstingen är det väl ej skäl att införa i lag?</w:t>
        <w:br/>
        <w:br/>
        <w:t>Jag yrkar, herr talman, bifall till reservationen.</w:t>
      </w:r>
    </w:p>
    <w:p>
      <w:pPr>
        <w:pStyle w:val="Heading2"/>
      </w:pPr>
      <w:r>
        <w:t>2. Eliel Löfgren (Folkpartiet, man)</w:t>
      </w:r>
    </w:p>
    <w:p>
      <w:r>
        <w:rPr>
          <w:b w:val="0"/>
        </w:rPr>
        <w:t>Herr greve och talman! Jag har begärt ordet i denna fråga, emedan jag sedan gammalt har ett mycket stort intresse för densamma, dels på grund av den befattning jag en lång tid haft i fattigvårdsnämnden — jag har nämligen varit revisor vid fattigvårdsanstalterna i Stockholm — dels ock på grund av att denna fråga nära sammanhänger med den om behandlingen av ungdomsbrottsligheten i allmänhet.</w:t>
        <w:br/>
        <w:br/>
        <w:t>Det är ju så, att dessa skyddshem, såsom förut påpekats, äro till för att taga emot, icke försummade, utan verkligt vanartade barn i ålder upp till 15 år. Det är samma kategori ungdomar, som efter väl uppnådda 15 år, i fall de icke omhändertagits tidigare, äro de som befolka fängelserna och i hög grad bidraga till den ökade kriminalitet bland ungdomen, som man på senare tid har konstaterat. Jag vill då först från rent principiell utgångs-</w:t>
        <w:br/>
        <w:br/>
        <w:t>unkt fråga: Ar det rimligt, att statsmakterna antaga en lag, enigt vilken de finna det vara alldeles nödvändigt, att dessa vanartade barn tagas om hand genom särskilda anstalter; att det inrättas särskilda barnavårdsnämnder för att utöva tillsyn och disciplinär befogenhet över dessa barn; att det ges en hel del bestämmelser i syfte att förekomma, att vanarten övergår till ren brottslighet; att en lag om allt detta antagits redan 1902, men att däremot de medel, som behövas för att verkligen realisera denna lagstiftning icke ännu i dag år 1919 kommit till stånd? På detta fatt kommer ju lagstiftaren att fullkomligt beröva sig varje aukoritet.</w:t>
        <w:br/>
        <w:br/>
        <w:t>Det har sagts, att skyddshem nu finnas nästan överallt. Jag</w:t>
        <w:br/>
        <w:br/>
        <w:t>vet verkligen icke, om detta kan vara bokstavligen riktigt, och om man icke här talar om anstalter, som godkänts som skyddshem utan att vara det; men jag vill endast konstatera det faktum, att åtminstone tills helt nyligen har icke ens Stockholms stad ett lagligt skyddshem, utan på det s. k. skyddshem, som Stockholms stad har, hava tagits in dels verkligt vanartade barn, som skickats dit från barnavårdsnämnden, dels vanliga fattiga barn, som skickas dit från fattigvårdsnämnden. På detta sätt har det uppstått en sammanblandning mellan de goda och de däliga elementen. Det hår härigenom icke bara blivit så, att de vanartade barnen icke omhändertagits i tid, utan även så, att de vanartade sprida smitta över till de bättre elementen, genom att de upptas på samma anstalt. Om det nu är så, som herr Fant säger, att det saknas skyddshem bara inom ett par, tre landstingsområden, synes det vara så mycket större skäl att nu fatta beslut om en obligatorisk förpliktelse för landstingen att föranstalta om upprättandet av skyddshem. Detta kan ju då ske utan större olägenhet och tunga för landstingen i allmänhet. Jag kan därför icke föreställa mig annat, än att alla skäl måste anses tala för, att ifrågavarande lagstiftning nu bör antagas av riksdagen.</w:t>
      </w:r>
    </w:p>
    <w:p>
      <w:pPr>
        <w:pStyle w:val="Heading2"/>
      </w:pPr>
      <w:r>
        <w:t>3. Ernst Klefbeck (Socialdemokraterna, man)</w:t>
      </w:r>
    </w:p>
    <w:p>
      <w:r>
        <w:rPr>
          <w:b w:val="0"/>
        </w:rPr>
        <w:t>Herr talman! Jag vill, då jag alltsedan lagens tillkomst haft min verksamhet inom Stockholms stads barnavårdsnämnd, yttra några ord, och jag skall verkligen försöka att fatta mig kort.</w:t>
        <w:br/>
        <w:br/>
        <w:t>Jag vill då påpeka, att den nu föreslagna skyldigheten för landstingen att inrätta skyddshem redan var föreslagen i den kungl. propositionen 1902. När vidare herr Fant talar om att det icke är av nöden påkallat, att man skulle ålägga landstingen att inrätta skyddshem, vill jag blott hänvisa till den rama faktiska verkligheten. Nu är förhållandet på många ställen, att barn, som av barnavårdsnämnd förordnats att intagas på skyddshem kunna få gå ett halvt år och däröver, innan någon plats kan upplåtas åt dem på sådant hem. Ett sådant förhållande måste verka skadligt i flera riktningar. Barnavårdsnämndens auktoritet går alldeles i kras, kan man säga, när den icke har någon möjlighet att verkställa sina beslut. De barn, som skulle in på skyddshem men icke kunna tagas in, komma antingen att gå kvar i sitt hem och sin gamla omgivning och där sprida smittan omkring sig, såsom herr statsrådet sade, under den långa tid, som förflyter, till dess de kunna komma in, eller också skola de skickas ut på landet och inackorderas i vanliga lanthem och åstadkomma där samma smitta.</w:t>
        <w:br/>
        <w:br/>
        <w:t>Under sådana förhållanden kan jag icke se annat, än att det är absolut nödvändigt, att det blir åläggande för landstingen att inrätta skyddshem. När herr Fant säger, att detta icke kan vara av nöden, därför att åtskilliga landsting redan hava inrättat eller stå i begrepp att inrätta skyddshem, vill jag bara svara därtill, att är förhållandet detta, så är det ja icke den ringaste fara att</w:t>
        <w:br/>
        <w:br/>
        <w:t>besluta dylik skyldighet för landstingen, ty då drabbas ju icke mer än ett fåtal av denna bestämmelse. |</w:t>
        <w:br/>
        <w:br/>
        <w:t>Sedan skall jag endast med ett par ord be att få svara greve Spens. Han målade upp alla möjliga farligheter, som skulle hänga samman med ett beslut i enlighet med utskottets förslag. Det skulle vara omöjligt för landstingen att åstadkomma dessa skyddshem. Jag vill då påpeka, att utskottet föreslår, att de skola vara färdiga först den 1 januari 1922. Vidare sade greve Spens, att varje landsting skall vara sk Idigt att upprätta ett skyddshem för</w:t>
        <w:br/>
        <w:br/>
        <w:t xml:space="preserve">gossar och ett för </w:t>
      </w:r>
      <w:r>
        <w:rPr>
          <w:b/>
        </w:rPr>
        <w:t>flickor²</w:t>
      </w:r>
      <w:r>
        <w:rPr>
          <w:b w:val="0"/>
        </w:rPr>
        <w:t>. utskottets förslag står det i stället, att: två eller flera landsting må kunna förena sig om gemensamt skyddshem.</w:t>
        <w:br/>
        <w:br/>
        <w:t>Jag menar sålunda, att nöden visar, att åläggande att inrätta skyddshem bör införas genom lag, och att de vådor därav, som här framställts, icke hava någon grund. Jag skall därför be, herr talman, att få yrka bifall till utskottets hemställan.</w:t>
      </w:r>
    </w:p>
    <w:p>
      <w:pPr>
        <w:pStyle w:val="Heading2"/>
      </w:pPr>
      <w:r>
        <w:t>4. Herman Rogberg (Första kammarens nationella parti, man)</w:t>
      </w:r>
    </w:p>
    <w:p>
      <w:r>
        <w:rPr>
          <w:b w:val="0"/>
        </w:rPr>
        <w:t>Herr talman! I avseende på frågan, huruvida en obligatorisk skyldighet skall åläggas landstingen att upprätta skyddshem, förefaller mig saken vara den, att om man utbyter den gällande författningens ord, att skyddshem böra finnas, mot en föreskrift, att skyddshem skola finnas, kommer man i verkligheten icke långt gent emot ett landsting eller en stad, som icke tillhör landsting, vilken eller vilka skulle vilja undandraga sig denna förpliktelse. Ty antag, att det förslag, som utskottet nu framlagt, av riksdagen bifalles, och antag vidare, att något landsting icke skulle ha sitt skyddshem i ordning till den utsatta dagen, den 1 janvari 1922 — vad blir då följden? Jag skulle närmast tro, att Konungens befallningshavande icke fäster sig vid den saken, men möjligtvis att någon förening eller någon socialt intresserad enskild person gör en anmälan om förhållandet till Kungl. Maj:t. Denna anmälan torde bliva utställd till vederbörande landstings eller stads förklaring, och det är att förvänta, att denna förklaring skall vara sådan, att mot landstinget ingen åtgärd företages. Men skulle förklaringen vara otillfredsställande. torde Kungl. Maj:t sakna maktmedel att tvinga landstinget eller staden att fullgöra sin skyldighet. Följaktligen måste det efter min uppfattning anses olämpligt, att man med lagens ord så att säga viftar med statsmaktens svärd utan att man har avsikt att låta detsamma komma till användning, där det eljest skulle anses behövligt. Detta om det formella eller själva ordalagen.</w:t>
        <w:br/>
        <w:br/>
        <w:t>Vad förut här anförts, närmast av herr Fant, visar ju i själva huvudfrågan, att landstingen och städerna ådagalägga ett livligt och tillräckligt intresse för att fullgöra denna behjärtansvärda och viktiga skyldighet.</w:t>
        <w:br/>
        <w:br/>
        <w:t>Herr Klefbeck har erinrat om den skada, som sker såväl för de vanartade barnen som för barnens omgivning, om barnen icke i tid kunna komma till skyddshem. Den nu avtagande ungdomsbrottsligheten liksom den avtagande brottsligheten i allmänhet ger</w:t>
        <w:br/>
        <w:br/>
        <w:t>något tvång mot dem på detta område skall vara behövligt.</w:t>
        <w:br/>
        <w:br/>
        <w:t>Jag ber att få yrka bifall till reservationen.</w:t>
      </w:r>
    </w:p>
    <w:p>
      <w:pPr>
        <w:pStyle w:val="Heading2"/>
      </w:pPr>
      <w:r>
        <w:t>5. Värner Ryden (Socialdemokraterna, man)</w:t>
      </w:r>
    </w:p>
    <w:p>
      <w:r>
        <w:rPr>
          <w:b w:val="0"/>
        </w:rPr>
        <w:t xml:space="preserve">Herr talman! Jag förstår icke det resonemang, som fördes av den siste ärade talaren. Att detta resonemang är oriktigt torde framgå av en männd redan träffade beslut. Hur har man över huvud taget ansett sig hava rättighet att lagstifta om landstingens skyldighet ifråga om sjukvården, hur har man kunnat genomföra epidemilagstiftningen, lagstifta om kommunernas skyldighet att hålla </w:t>
      </w:r>
      <w:r>
        <w:rPr>
          <w:b/>
        </w:rPr>
        <w:t>barnmorska³</w:t>
      </w:r>
      <w:r>
        <w:rPr>
          <w:b w:val="0"/>
        </w:rPr>
        <w:t xml:space="preserve"> och sådant, om herr Rogbergs meningar varit riktiga?</w:t>
        <w:br/>
        <w:br/>
        <w:t>Likaså skulle jag vilja säga ett par ord med anledning av hans yttrande om den avtagande brottsligheten. De siffror, som tydligen föresvävat den ärade talare äro de, som jämföra den nuvarande brottsligheten, med den brottslighet, som visade sig under så att säga själva högkonjukturen åren 1917—1918, då den var som allra störst. För min del vågar jag icke — och jag tror icke, att man i allmänhet då man betraktar erfarenheterna på detta område vågar det — gå ut i från att ifrågavarande brottslighet, om man ställer den 1 relation till brottsligheten före kriget kan anses vara i avtagande, utan tyvärr är det nog i stället så, att den är avsevärt i tilltagande.</w:t>
        <w:br/>
        <w:br/>
        <w:t>Vad som emellertid bedrövade mig, när jag såg utskottets betänkande, var förekomsten av det första namnet under reservationen, där jag fann en gammal trägen arbetare på barnavårdens område, herr Fant. Jag kan förstå det resonemang, som han förde år 1896, då man icke ville gå bröstgänges tillväga. Man ville då försöka att föreskriva, blott att landsting borde inrätta skyddshem och dylikt. Men jag har mycket svårt att förstå, att då man har 1913 års siffror framför sig, och då man har 16-årig erfarenhet av lagen, man ändock kan föra samma resonemang, ehuru man finner, att av rikets 25 landsting, allenast 8 hava byggt egna skyddshem och att endast en stad av samtliga de städer, som icke deltaga i landsting, hava byggt ett sådant. Jag kan icke tänka mig, att man kan med dessa erfarenheter för ögonen, se saken på samma sätt, som man gjorde år 1902. Livet och erfarenheten ha ju visat, att vad man då hoppades, icke blivit infriat. Det föreligger, mina herrar, på detta område ett mycket</w:t>
        <w:br/>
        <w:br/>
        <w:t>stort behov att göra något. Såsom chef för det departement under Lagförslag vilket denna lagstiftning hör, vill jag vitsorda, att det titt och AG ofta inkommer ansökningar, angående rätt att få, om jag så får för tanartade uttrycka mig, överbelägga förefintliga skyddshem. De uppgifter, barn m.m. som medfölja dessa framställningar visa, att förhållandena äro så- = (Forts) dana, att jag icke tvekar att säga, att ett verkligt nödläge här föreligger. Fattigvårdslagstiftningskommittén avlät före jul en framställning om att detta lagförslag skulle framläggas för riksdagen. Jag ser också, att i utskottet åtskilliga av dem som tillhöra samma parti som den förste av reservanterna i denna kammare, t. ex. Hederstierna och flera med honom — helt säkert haft dessa förhållanden, som jag nyss pekade på, inför sina ögon — ansett sig böra tillstyrka det föreliggande förslaget. Talar man vid fattigvårdsmän dela dessa samma åsikt. Jag vet, att fattigvårdsinspektören hade önskat, om det funnits någon möjlighet, vara här tillstädes för att inför riksdagen lägga ett ord för denna lags antagande. Och talar man med andra fattigvårdsmän äro omdömena samstämmande: det föreligger ett verkligt behov. Talar man med präster eller med fångvärdsmän, får man höra samma omdöme, och detta omdöme delas även av barnavårdsnämnderna, där man har den mest omedelbara erfarenheten på området.</w:t>
        <w:br/>
        <w:br/>
        <w:t>Jag ber kammaren om tillgift, att jag vid denna sena timme dristat mig att yttra mig om denna sak. Beklagligt skulle dock vara, om lagen komme att falla på grund av meningsskiljaktighet i föreliggande punkt; och jag skulle vilja vädja till kammaren, att ST sina betänkligheter fara och i stället bifalla utskottets hemställan.</w:t>
        <w:br/>
        <w:br/>
        <w:t>upplåtet område m. m. (Forts.)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341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