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357</w:t>
      </w:r>
    </w:p>
    <w:p>
      <w:r>
        <w:rPr>
          <w:b/>
        </w:rPr>
        <w:t xml:space="preserve">Datum: </w:t>
      </w:r>
      <w:r>
        <w:t>1920-03-17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 xml:space="preserve">Herr Nilsson i Skottlandshus tillät sig att yttra, att han tyckte, att statsutskottet varit ovanligt liberalt, när det prutat av tiotuse8å kronor på Kungl. Maj:ts anslag. Han åberopade just, att det är mest </w:t>
      </w:r>
      <w:r>
        <w:rPr>
          <w:b/>
        </w:rPr>
        <w:t>kvinnor¹</w:t>
      </w:r>
      <w:r>
        <w:rPr>
          <w:b w:val="0"/>
        </w:rPr>
        <w:t>, som få understödet nedsatt till fyra hundra kronor. Man vet, att man får tillbaka tiotusen kronor, d. v. s., att vi sätta dem på större svältkost än Kungl. Maj:ts förslag har gjort.</w:t>
        <w:br/>
        <w:br/>
        <w:t>En annan talare klandrade åter beloppet 500 kronor, såsom alldeles för obetydligt. Jag har icke så noga kommit in i denna fråga. Jag har icke observerat denna fråga bland de tusen ärendena, utan har först genom en tidningsartikel fått uppmärksamheten riktad på den, och därför har en motion av mig icke väckts. Då vi sålunda måste hålla oss till ämnet sådant det nu föreligger konstitutivt, har jag ingen annan utväg, än att yrka bifall till Kungl. Maj:ts förslag.</w:t>
        <w:br/>
        <w:br/>
        <w:t>Det har åberopats från herr Ekmans sida, att bankoutskottet föreslår lika låga pensioner. I ett utlåtande, som förekouwmer strax efteråt och bär nummer 20 — jag har tillåtit mig att själv se efter där — finns lägre pensioner än på 400 kronor, t. ex. på 350 kronor 0. s. v. Om bankoutskottet på Kungl. Maj:ts förslag utmäter usla pensioner kan det väl icke vara anledning att gå ifrån Kungl. Maj:ts förevarande förslag och göra även dessa understöd oskäligt låga.</w:t>
        <w:br/>
        <w:br/>
        <w:t>Man må ock besinna, att den ersättning, som förut givits dessa tobaksarbetare, lämnats, för att man tagit ifrån dem ett arbete, som de haft förut. Man kan tänka sig, att ifall de hade fått behålla detta arbete, så hade de kunnat spara något, som de kunnat utöka den knappa pensionen med. Ur dessa synpunkter är jämförelsen icke på något sätt berättigad.</w:t>
        <w:br/>
        <w:br/>
        <w:t>Så kom herr Nilsson med den vanliga jämförelsen, att det finns andra arbetare, som ha det ännu sämre eller lika dåligt, och de bliva därför nedstämda, om de andra få någon förbättring, d. v. s. om de andra icke få det lika dåligt. Men då kan man ju lika gärna resonera som så: varför ge vi de högre ämbetsmännen en hög lön? Då bli alla människor mycket nedstämda. Nej. låt oss i stället giva alla 400 kronor och icke ett spår mera! Då bli vi väl alla nöjda! — Det finnes icke någon rimlig anledning, att därför att några ha det dåligt, så måste alla andra ha det dåligt. Det är däremot bra att kunna reka på, att andra ha det bra, så kunna även andra få det bättre. Utvecklingen går långsamt framåt, men man skall icke reformera bakåt.</w:t>
        <w:br/>
        <w:br/>
        <w:t>Statsutksottet passade på att pressa ned understödet från 500 kronor till 400 kronor. Majoriteten säger själv att inst därför kan statsverket spara 10,000 kronor. I andra ärenden låta vi som sagt miljonerna rulla till alla möjliga ändamål.</w:t>
      </w:r>
    </w:p>
    <w:p>
      <w:pPr>
        <w:pStyle w:val="Heading2"/>
      </w:pPr>
      <w:r>
        <w:t>2. Halfred von Koch (–, man)</w:t>
      </w:r>
    </w:p>
    <w:p>
      <w:r>
        <w:rPr>
          <w:b w:val="0"/>
        </w:rPr>
        <w:t>Herr Nilsson i Skottlandshus ansåg, att det skulle uppstå en viss orättvisa, om tobaksarbetarna skulle få ett understöd som överstege det som tillkommer andra personer. Jag ber att få säga. att dessa tobaksarbetare befinna sig i en alldeles säregen situation. Det är genom statens ingripande i den privata tobakshanteringen, som dessa personer blivit arbetslösa. Staten har inrät-</w:t>
        <w:br/>
        <w:br/>
        <w:t xml:space="preserve">»« tat ett tobakmonopol, och därför har en hel del personer, som förut ar- Understöd &amp; betat i tobaksnäringen, icke kunnat finna någon sysselsältning. Det Sa är därför berättigat, att staten tar hand om dessa personer. införande Mot herr Ekman vill jag säga, att jag väsentligen hyser stor aktnödlidande ning för hans omdöme i statsutskottsfrågor. Förhållandet är dock, personer. att både arbetslöshetskommissionen och socialstyrelsen stå bakom det (Forts) förslag som Kungl. Maj:t framlagt. Och det är väl ganska naturligt, att man har anledning att fästa elt siörre avseende vid vad dessa sakkunniga myndigheter yttrat än vad statsutskottet själv föreslagit. Jag vill också säga, att det förhåller sig nog icke på det sä:t, som herr Ekman antydde, att det är likgiltigt, om det blir 150.000 eller 140,000 kronor, som här kommer att anslås, ty i själva verket innebär utskottets förslag en bestämd minskning för två grupper understödstagare: för det första att </w:t>
      </w:r>
      <w:r>
        <w:rPr>
          <w:b/>
        </w:rPr>
        <w:t>kvinnorna¹</w:t>
      </w:r>
      <w:r>
        <w:rPr>
          <w:b w:val="0"/>
        </w:rPr>
        <w:t xml:space="preserve"> få allenast 400 kronor i stället för av Kungl. Maj:t föreslagna 500 kronor, och för det andra, att de gifta paren enligt Kungl. Maj:ts förslag få 1,000 kronor och enligt utskottets allenast 700 kronor. Det är sålunda icke allenast en skenbar utan även en reell minskning, som skulle äga rum genom att tilllämpa utskottets förslag. I likhet med herr Möller ber jag få anföra, att det här icke är fråga om något understöd efter behovet. Här är ju siffran fixerad till 400 eller 500 kronor, vilketdera det nu blir. Jag tycker, herr talman, att kammaren på de skäl, som här anförts, borde gå med på det förslag som Kungl. Maj:t och de hörda myndigheterna framlagt.</w:t>
      </w:r>
    </w:p>
    <w:p>
      <w:pPr>
        <w:pStyle w:val="Heading2"/>
      </w:pPr>
      <w:r>
        <w:t>3. Karl Ekman (Första kammarens nationella parti, man)</w:t>
      </w:r>
    </w:p>
    <w:p>
      <w:r>
        <w:rPr>
          <w:b w:val="0"/>
        </w:rPr>
        <w:t>Gentemot herr Lindhagen, när han säger att icke skola vi påverkas av den omständigheten att för andra understödstagare lämnas andra och mindre belopp. ber jag att få framhålla att jag emellertid tror. att det är absolut nödvändigt för staten, att i sin understödsverksamhet, i sin pensionsverksamhet använda åtminstone något så när likartade principer och utgå från likartade förfaringssätt. Sker icke det. så blir säkert den ena villan värre än den andra. Vad skall man då svara dem, som med bättre skäl åberopa sig hava rätt att erhålla större belopp, men som i stället erhölle mindre sådana?</w:t>
        <w:br/>
        <w:br/>
        <w:t>Staten får jämväl i sin verksamhet på detta område försöka förfara i förhållande till olika understödstagare på ett likartat och rättvist sätt. Eljest tror jag, att det blir fullständigt omöjligt att handhava dessa regleringar.</w:t>
        <w:br/>
        <w:br/>
        <w:t>Herr Möller yttrade, att han icke kunde förstå, att man skulle tillämpa behovsprincipen, då i allt fall det belopp. som här är fråga om icke fullt täcker hela behovet. Skulle man således icke tillämpa behovsprincipen som grund för understödsfördelningen, därför att understödet icke täcker hela behovet? Skulle staten i stället vid understöd tillämpa den principen, att understöd endast bör lämnas då därmed följer förpliktelse att tillgodose täckandet av hela behovet. då tror jag att de till understöd ifrågasatta ha anledning betacka sig för en dylik tillämpning? Det kan väl icke vara möjligt, att den stånd-</w:t>
        <w:br/>
        <w:br/>
        <w:t>Understöd åt punkten är användbar. Principen »understöd i förhållande till beho-</w:t>
        <w:br/>
        <w:br/>
        <w:t>vet» bör, anser jag tillämpas oberoende av, huruvida understödet är tillräckligt för att helt täcka behovet eller endast mindre del av detsamma. Jag anhåller fortfarande om bifall till statsutskottets förslag.</w:t>
      </w:r>
    </w:p>
    <w:p>
      <w:pPr>
        <w:pStyle w:val="Heading2"/>
      </w:pPr>
      <w:r>
        <w:t>4. Alfred Petren (Socialdemokraterna, man)</w:t>
      </w:r>
    </w:p>
    <w:p>
      <w:r>
        <w:rPr>
          <w:b w:val="0"/>
        </w:rPr>
        <w:t>Då här en jämförelse gjorts mellan de understöd, som här ifrågasättes åt f. d. arbetare inom tobaksindustrien, och de små pensioner, som bankoutskottet tillstyrkt, och man därvid framhållit, att dessa pensioner, som bankoutskottet tillstyrkt, ofta äro mindre än de understöd det nu är fråga om, har jag begärt ordet för att fästa uppmärksamheten på, att på verkliga pensioner erhålles dyrtidstillägg, medan det, om jag är riktigt underrättad, icke blir något dyrtidstillägg på de understöd, det här gäller. Vid sådant förhållande blir dessa understöd vida mindre än de minsta pensioner, som bli beviljade på förslag av bankoutskottet.</w:t>
        <w:br/>
        <w:br/>
        <w:t xml:space="preserve">Jag kan icke underlåta att i likhet med flera talare här finna, att det icke kan vara rimligt, att, för att spara en summa på tiotusen kronor, ett flertal åldriga </w:t>
      </w:r>
      <w:r>
        <w:rPr>
          <w:b/>
        </w:rPr>
        <w:t>kvinnor¹</w:t>
      </w:r>
      <w:r>
        <w:rPr>
          <w:b w:val="0"/>
        </w:rPr>
        <w:t xml:space="preserve"> skola få understödsbeloppen nedsatta från femhundra kronor till fyrahundra kronor. Jag ber, herr talman, få yrka bifall till Kungl. Maj:ts proposition i denna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