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362</w:t>
      </w:r>
    </w:p>
    <w:p>
      <w:r>
        <w:rPr>
          <w:b/>
        </w:rPr>
        <w:t xml:space="preserve">Datum: </w:t>
      </w:r>
      <w:r>
        <w:t>1920-04-14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Olofsson (Folkpartiet, man)</w:t>
      </w:r>
    </w:p>
    <w:p>
      <w:r>
        <w:rPr>
          <w:b w:val="0"/>
        </w:rPr>
        <w:t xml:space="preserve">Herr talman! Det har framförts gång på gång, att denne Cederström skulle hava gjort en så stor statsgärning, och därför skall pension beviljas åt den efterlevande </w:t>
      </w:r>
      <w:r>
        <w:rPr>
          <w:b/>
        </w:rPr>
        <w:t>änkan²</w:t>
      </w:r>
      <w:r>
        <w:rPr>
          <w:b w:val="0"/>
        </w:rPr>
        <w:t xml:space="preserve">. Jag undrar, om det är så riktigt. Jag skulle kunna framvisa hundratals män i detta land, som gjort en stor statsgärning genom att odla jorden och frambringa skördar och mat åt svenska medborgare. Men tror någon, att man skulle i sådant fall begära pension åt en efterlevande </w:t>
      </w:r>
      <w:r>
        <w:rPr>
          <w:b/>
        </w:rPr>
        <w:t>änka²</w:t>
      </w:r>
      <w:r>
        <w:rPr>
          <w:b w:val="0"/>
        </w:rPr>
        <w:t xml:space="preserve">, som är utfattig, och tror någon, att riksdagen skulle bevilja pension åt en sådan </w:t>
      </w:r>
      <w:r>
        <w:rPr>
          <w:b/>
        </w:rPr>
        <w:t>änka²</w:t>
      </w:r>
      <w:r>
        <w:rPr>
          <w:b w:val="0"/>
        </w:rPr>
        <w:t xml:space="preserve">? Nej! Här bevisas att </w:t>
      </w:r>
      <w:r>
        <w:rPr>
          <w:b/>
        </w:rPr>
        <w:t>änkan²</w:t>
      </w:r>
      <w:r>
        <w:rPr>
          <w:b w:val="0"/>
        </w:rPr>
        <w:t xml:space="preserve"> icke är utblottad, utan att </w:t>
      </w:r>
      <w:r>
        <w:rPr>
          <w:b/>
        </w:rPr>
        <w:t>hon²</w:t>
      </w:r>
      <w:r>
        <w:rPr>
          <w:b w:val="0"/>
        </w:rPr>
        <w:t xml:space="preserve"> har tillgångar, ehuru icke så stora. Men </w:t>
      </w:r>
      <w:r>
        <w:rPr>
          <w:b/>
        </w:rPr>
        <w:t>hon²</w:t>
      </w:r>
      <w:r>
        <w:rPr>
          <w:b w:val="0"/>
        </w:rPr>
        <w:t xml:space="preserve"> skall väl icke uteslutande leva på dem utan också arbeta, så vitt </w:t>
      </w:r>
      <w:r>
        <w:rPr>
          <w:b/>
        </w:rPr>
        <w:t>hon²</w:t>
      </w:r>
      <w:r>
        <w:rPr>
          <w:b w:val="0"/>
        </w:rPr>
        <w:t xml:space="preserve"> har hälsa och krafter. Här är en sak, som är litet mera populär.</w:t>
        <w:br/>
        <w:br/>
        <w:t>Det säges, att Cederström har vågat sitt liv för flygkonsten, men jag undrar, om han icke vågade sitt liv lika mycket för att göra ekonomisk vinst. Då han varit med om att starta fabriker, så var det nog med tanke på, att de skulle föra med sig ekonomiska fördelar. Detta är också en synpunkt, som man har att taga i betraktande.</w:t>
        <w:br/>
        <w:br/>
        <w:t>Jag tror att det skulle medföra ytterst svåra konsekvenser om riksdagen i detta fall bifaller motionen, ty det finnes många hundra svenska änkor här i landet, som med mycket större fog kunna begära understöd.</w:t>
        <w:br/>
        <w:br/>
        <w:t>Jag ber därför att få yrka avslag å motionen och bifall till utskottets hemställan.</w:t>
      </w:r>
    </w:p>
    <w:p>
      <w:pPr>
        <w:pStyle w:val="Heading2"/>
      </w:pPr>
      <w:r>
        <w:t>2. Carl Winberg (Kilbomspartiet, man)</w:t>
      </w:r>
    </w:p>
    <w:p>
      <w:r>
        <w:rPr>
          <w:b w:val="0"/>
        </w:rPr>
        <w:t>Det var en talare, som meddelade, att han skulle med jämnmod motse, om riksdagen i denna punkt lät sitt goda hjärta tala. Jag har icke heller något emot, att riksdagen låter sitt goda hjärta tala. Men jag vill uttala den meningen, att riksdagen i sådana här fall bör se till, att icke det goda hjärtat talar i allt för ensidig riktning. Vi må komma ihåg, mina herrar, att det är icke bara friherrar och flygbaroner, som förolyckas i landet och lämna efterlevande åt sig själva. Det finnes tusentals andra medborgare, som ha betydligt svårare ställt beträffande sin utkomst, när familjefadern faller ifrån. Här är i alla fall konstaterat, visserligen att det icke är någon större förmögenhet, men att det finns så pass mycket, att tusentals av vårt lands medborgare skulle vara glada, om de vid familjefaderns frånfälle hade en sådan förmögenhet, som den här föreliggande. Det är därför, man icke bör låta det goda hjärtat springa iväg allt för hastigt.</w:t>
        <w:br/>
        <w:br/>
        <w:t>Därtill kommer en hel del omständigheter vid själva förolyckandet, varöver det vilar ett visst dunkel och vilka kunna behöva närmare utredas. Med hänvisning till, huru sparsamt man går till väga i många andra fall, då det gäller pension eller understöd på ett par hundra kronor, och ehuru jag under andra förhållanden skulle vara med om att visa en uppmuntran även i detta fall, måste jag dock säga mig, att när</w:t>
        <w:br/>
        <w:br/>
        <w:t xml:space="preserve">riksdagen så många gånger nödgas avslå betydligt mera berättigade Årligt underanspråk än det här ifrågavarande, kan jag icke i det relativt outredda sier Grgraner re skick, som denna sak ligger, komma till annat resultat än att yrka bifall sröms </w:t>
      </w:r>
      <w:r>
        <w:rPr>
          <w:b/>
        </w:rPr>
        <w:t>änka²</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