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1464</w:t>
      </w:r>
    </w:p>
    <w:p>
      <w:r>
        <w:rPr>
          <w:b/>
        </w:rPr>
        <w:t xml:space="preserve">Datum: </w:t>
      </w:r>
      <w:r>
        <w:t>1920-04-16</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Henning Leo (Socialdemokraterna, man)</w:t>
      </w:r>
    </w:p>
    <w:p>
      <w:r>
        <w:rPr>
          <w:b w:val="0"/>
        </w:rPr>
        <w:t>Herr talman! Som jag under principdebatten hade tillfälle att säga, är enligt min uppfattning en äktenskapslags huvudsakliga uppgift att träda till vid komflikter inom äktenskapet. Men å andra sidan bör naturligtvis lagen själv strängt undvika, att genom sina bestämmelser föranleda konflikter inom äktenskapet. Detta har ju också varit den ledande grundsatsen hos skaparna av detta lagförslag och de ha i konsekvens med denna sin uppfattning icke velat tillåta, att husliga tvister, tvister rörande personliga angelägenheter inom familjen dragas inför domstol. Det har för dem varit klart, att en bestämmelse, som möjliggjorde. att rent husliga och personliga tvister mellan makarna skulle få dragas till rättegång, skulle utgöra en alltför stor fara för äktenskapets bestånd.</w:t>
        <w:br/>
        <w:br/>
        <w:t>Emellertid bryter lagförslaget denna sin grundsats, då det gäl-</w:t>
        <w:br/>
        <w:br/>
        <w:t>Lördagen den 17 april, e. m. H3 ler bestämmanderätten över barnets personliga angelägenheter. Den slutliga bestämmanderätten tilllkör enligt gällande rält mannen allena. Lagförslaget däremot uttalar att denna bestämmanderätt bör tillkomma båda makarna i förening, och vid olika mening mellan makarna angående frågor, som beröra barnen, ger lagförslaget endera av makarna rätt att, efter medling, föra denna meningsskiljaktighet inför domstol. Detta är så mycket märkligare, som varken lagberedningen eller utskottet varit blinda för de faror. som härigenom kunna hota äktenskapets bestånd. Utskottet säger självt, att det icke skall bestridas, att tvistens dragande inför domstol måste medföra en stark påfrestning av förhållandet mellan föräldrarna. Utskottet och jag äro alltså fullkomligt ense i den punkten. Men sedan fortsätter utskottet: »Enligt utskottets uppfattning kommer emellertid en dylik åtgärd ytterst sällan att tillgripas.&gt;» Ja, det är här, som jag tror, att utskottet liksom lagberedningen gjort ett grundfel i sina beräkmingar. Det är nämligen min bestämda övertygelse, att om man öppnar möjlighet för makarna att vid tvister angående barnets angelägenheter draga denna tvist inför domstol, så kommer denna rätt i många fler fall, än vad utskottet synes antaga, att bli använd, och så fort så sker, inträda de faror för äktenskapets bestånd, som mwutskottet icke heller självt blundat för. Ty det är ju alldeles tydligt — det veta vi alla — att frågor angående barnet höra till de allra ömtåligaste ämnena inom en familj. Det finnes väl ingenting inom en familj, som så personligt intresserar och berör makarnas känslor som Just barnets angelägenheter, och det kan icke undvikas, att vid tillfällen av tvister angående barnet känslorna hastigt kunna blossa upp och taga överhamd över förnuftet. Det kan då lätt inträffa att endera maken går till domstol i otid med frågan och därigenom utsätter äktenskapet för de påfrestningar, som måste följa med en dylik rättegång. Ty vi måste förstå, att då saken kommer inför domstol, stå makarna där emot varandra som två parter, vilka ha en rätt att bevaka, som de båda ifrån sina respektive utgångspunkter se såsom den kanske viktigaste för dem i livet. Därvid förledas de lätt att använda alla medel för att påverka domstolen till förmån för sin åsikt, och Je kunna komma, kanske helt omedvetet, att tillgripa beskyllningar och anklagelser emot varandra, som mellan dem lätt kunna åstadkomma ebt missförhållande och ingiva dem mycket bittra känslor emot varandra. känslor, som sedermera bli omöjliga att övervinna utan förr eller senare komma att söndra och spränga äktenskapet.</w:t>
        <w:br/>
        <w:br/>
        <w:t>Sådan blir otvivelaktigt i de allra flesta fall gången av ett mål angående barnet, som blir föremål för domstols behandling, och det är alldeles uppenbart, att barnet minst av alla gagnas genom ett sådant förfarande. Det är klart, att barnet. som har sitt förnämsta skydd och stöd i hemmet kommer att förlora mest, om det blir allvarligt skadat och kanske rent av upplöses.</w:t>
        <w:br/>
        <w:br/>
        <w:t xml:space="preserve">Nu säger man, att dessa faror måste makarna icke själva vara blinda för, och de komma därför att tänka sig för mer än en gång. innan de gå med sådana här tvister till domstolen. Men detta är enligt min mening att alldeles för 'mycket lita vå att förnuftet i sållana här fall skall göra sig gällande. De se icke de faror, som ligga bakom Jlomstolsförfarandet. En ömsint </w:t>
      </w:r>
      <w:r>
        <w:rPr>
          <w:b/>
        </w:rPr>
        <w:t>moder²</w:t>
      </w:r>
      <w:r>
        <w:rPr>
          <w:b w:val="0"/>
        </w:rPr>
        <w:t xml:space="preserve"> tror måhända, att det är mycket enkelt att gå till domaren och be honom ge </w:t>
      </w:r>
      <w:r>
        <w:rPr>
          <w:b/>
        </w:rPr>
        <w:t>henne²</w:t>
      </w:r>
      <w:r>
        <w:rPr>
          <w:b w:val="0"/>
        </w:rPr>
        <w:t xml:space="preserve"> rätt i </w:t>
      </w:r>
      <w:r>
        <w:rPr>
          <w:b/>
        </w:rPr>
        <w:t>hennes²</w:t>
      </w:r>
      <w:r>
        <w:rPr>
          <w:b w:val="0"/>
        </w:rPr>
        <w:t xml:space="preserve"> åsikt om vad barnet skall bli eller huru det skall uppfostras, och att, sedan domstolen sagt sin mening, det icke blir någonting vidare med det hela. </w:t>
      </w:r>
      <w:r>
        <w:rPr>
          <w:b/>
        </w:rPr>
        <w:t>Hon²</w:t>
      </w:r>
      <w:r>
        <w:rPr>
          <w:b w:val="0"/>
        </w:rPr>
        <w:t xml:space="preserve"> kommer icke att från början göra klart för sig, vilka svåra följder ett sådant steg måste medföra.</w:t>
        <w:br/>
        <w:br/>
        <w:t>Jag har därför yrkat, att lagen i detta fall liksom i alla andra frågor, som angå hemmets rent husliga och personliga angelägenheter, icke skulle sätta upp någon rättsregel för deras slutliga avgörande utan överlämna åt makarna själva att rådgöra och överlägga med varandra och därvid lita på, att det för barnet och familjen bästa resultatet därvid skall framkomma. Det är klart, att man därvid får räkna mel att det, som någon har anmärkt, kan bli den starkare viljan, som till slut kommer att göra sin mening gällande, men det blir enligt min uppfattning för barnet långt mera nyttigt än att blanda in domstolen i hemmets inre angelägenheter.</w:t>
        <w:br/>
        <w:br/>
        <w:t xml:space="preserve">Jag vill också påpeka, att enligt mitt förslag kommer icke på något sätt </w:t>
      </w:r>
      <w:r>
        <w:rPr>
          <w:b/>
        </w:rPr>
        <w:t>kvinnans¹</w:t>
      </w:r>
      <w:r>
        <w:rPr>
          <w:b w:val="0"/>
        </w:rPr>
        <w:t xml:space="preserve"> medbestämmanderätt att trädas för nära. </w:t>
      </w:r>
      <w:r>
        <w:rPr>
          <w:b/>
        </w:rPr>
        <w:t>Hon²</w:t>
      </w:r>
      <w:r>
        <w:rPr>
          <w:b w:val="0"/>
        </w:rPr>
        <w:t xml:space="preserve"> får precis samma inflytande över barnet, som mannen får, och det är ju mycket troligt, att det lika ofta och kamske oftast blir </w:t>
      </w:r>
      <w:r>
        <w:rPr>
          <w:b/>
        </w:rPr>
        <w:t>kvinnans¹</w:t>
      </w:r>
      <w:r>
        <w:rPr>
          <w:b w:val="0"/>
        </w:rPr>
        <w:t xml:space="preserve"> mening, som blir den avgörande, när Jet gäller barnen.</w:t>
        <w:br/>
        <w:br/>
        <w:t>Ja, herr talman, då jag är förvissad om att bestämmelsen, sådan den föreligger i utskottets förslag, skulle komma att bli till skada i stället för till nytta för Ide marter, frågan här gäller. skall jag be att få yrka bifall till min reservation och till den lydelse, som där föreslås åt paragrafen.</w:t>
      </w:r>
    </w:p>
    <w:p>
      <w:pPr>
        <w:pStyle w:val="Heading2"/>
      </w:pPr>
      <w:r>
        <w:t>2. Jakob Pettersson (Liberala riksdagspartiet, man)</w:t>
      </w:r>
    </w:p>
    <w:p>
      <w:r>
        <w:rPr>
          <w:b w:val="0"/>
        </w:rPr>
        <w:t>Herr talman! Rätten att bestämma över barnets personliga angelägenheter tillkommer enligt göllande rätt fadern på grund av hans målsmanskap. Då det nu genom den nya lagstiftningen avses att ställa makarna lika. är det givet, att även denna rätt icke kan tillkomma fadern ensam, utan måste tillkomma bägge föräldrarna i förening. Denna paragraf stadgar därför: »Rätten att bestämma över barnets personliga angelägenheter tillkomme bägge föräldrarna i förening.»</w:t>
        <w:br/>
        <w:br/>
        <w:t>Nu kan det emellertid inträffa. att de icke bli ense. Hur skall det då gå? Jo. i en reservation. avgiven av herr Rogberg m. fl., föreslås. att fadern liksom nu skall bli den bestämmande. I en annan</w:t>
        <w:br/>
        <w:br/>
        <w:t>reservation åter, avgiven av herr Leo, föreslås, att ingenting vidare skall om dylika fall föreskrivas i lagen, utan att saken skall lämnas oavgjord. Enligt Kungl. Maj:t och utskottets förslag åter skall då först medling anställas mellan makarna, d. v. s. en person med auktoritet och förstånd skall tala med dem privatim och med förnuftsskäl försöka få dem att enas, Om den mannen är sitt kall vuxen, så lyckas han naturligtvis i de flesta fall få dem att taga reson. Men om det icke lyckas. då skall domstol, dock endast såvida det med hänsyn till barnets bästa befinnes erforderligt, uppdraga åt den av föräldrarna, som befinnes därtill bäst skickad, att avgöra dylika tvistefrågor, eller också kan domstolen bestämma, att i den särskilda fråga, varom tvist uppstått, den ena eller den andra av makarna skall få råda. Jag ber emellertid att få understryka, att detta skall domstolen göra, endast såvida det befinnes med hänsyn till barnets bästa vara erforderligt. Detta om de olika ståndpunkter, som kommit till uttryck i frå-</w:t>
        <w:br/>
        <w:br/>
        <w:t>gan. För att litet belysa, vad det här är fråga om, skall jag tillåta</w:t>
        <w:br/>
        <w:br/>
        <w:t>mig nämna några exempel, vilka jag icke hittat på, utan som för mig relaterats av Svenska fattigvårdsförbundets barnavårdsbyrå här i Stockholm, som har en mycket rik erfarenhet i dessa saker. Dessa fall skulle naturligtvis kunna ytterligare mångfaldigas.</w:t>
        <w:br/>
        <w:br/>
        <w:t xml:space="preserve">I ett fall hade det befunnits. att fadern drack och slarvade. Modern hade arbete utom hemmet, och under </w:t>
      </w:r>
      <w:r>
        <w:rPr>
          <w:b/>
        </w:rPr>
        <w:t>moderns²</w:t>
      </w:r>
      <w:r>
        <w:rPr>
          <w:b w:val="0"/>
        </w:rPr>
        <w:t xml:space="preserve"> bortovaro kunde det hända, att fadern som ofta var arbetslös, tog </w:t>
      </w:r>
      <w:r>
        <w:rPr>
          <w:b/>
        </w:rPr>
        <w:t>dottern²</w:t>
      </w:r>
      <w:r>
        <w:rPr>
          <w:b w:val="0"/>
        </w:rPr>
        <w:t xml:space="preserve"> med sig i mindre lämpligt sällskap o. s. v. Då tillståndet i hemmet under årens lopp blev allt sämre, vände modern sig till barnavårdsbyrån för att få anvisning på ett fosterhem åt </w:t>
      </w:r>
      <w:r>
        <w:rPr>
          <w:b/>
        </w:rPr>
        <w:t>flickan²</w:t>
      </w:r>
      <w:r>
        <w:rPr>
          <w:b w:val="0"/>
        </w:rPr>
        <w:t xml:space="preserve">, där denna skulle kunna komma i åtnjutande av god uppfostran och vård. Ett utmärkt sådant hem på landet anskaffades, men fadern satte sig emot </w:t>
      </w:r>
      <w:r>
        <w:rPr>
          <w:b/>
        </w:rPr>
        <w:t>dotterns²</w:t>
      </w:r>
      <w:r>
        <w:rPr>
          <w:b w:val="0"/>
        </w:rPr>
        <w:t xml:space="preserve"> förflyttning från hemmet till uppenbar skada för </w:t>
      </w:r>
      <w:r>
        <w:rPr>
          <w:b/>
        </w:rPr>
        <w:t>flickan²</w:t>
      </w:r>
      <w:r>
        <w:rPr>
          <w:b w:val="0"/>
        </w:rPr>
        <w:t>.</w:t>
        <w:br/>
        <w:br/>
        <w:t xml:space="preserve">I ett annat fall var fadern lat och slarvig och var långa tider borta från hemmet. Det fanns många barn i hemmet. Modern var ordentlig och arbetsam och måste genom arbete utom hemmet bidraga till hemmets underhåll. Den trettonåriga </w:t>
      </w:r>
      <w:r>
        <w:rPr>
          <w:b/>
        </w:rPr>
        <w:t>dottern²</w:t>
      </w:r>
      <w:r>
        <w:rPr>
          <w:b w:val="0"/>
        </w:rPr>
        <w:t xml:space="preserve"> var sedan flera år tillbaka i god vård hos en hygglig släkting. Fadern blev emellertid av någon orsak förargad och fordrade, att </w:t>
      </w:r>
      <w:r>
        <w:rPr>
          <w:b/>
        </w:rPr>
        <w:t>dottern²</w:t>
      </w:r>
      <w:r>
        <w:rPr>
          <w:b w:val="0"/>
        </w:rPr>
        <w:t xml:space="preserve"> skulle återvända till det egna hemmet. Både modern, </w:t>
      </w:r>
      <w:r>
        <w:rPr>
          <w:b/>
        </w:rPr>
        <w:t>dottern²</w:t>
      </w:r>
      <w:r>
        <w:rPr>
          <w:b w:val="0"/>
        </w:rPr>
        <w:t xml:space="preserve"> och fostermodern önskade, att </w:t>
      </w:r>
      <w:r>
        <w:rPr>
          <w:b/>
        </w:rPr>
        <w:t>dottern²</w:t>
      </w:r>
      <w:r>
        <w:rPr>
          <w:b w:val="0"/>
        </w:rPr>
        <w:t xml:space="preserve"> skulle få kvarstanna i det goda hemmet. men fadern hade bestämmanderätten. och det blev, som han avgjorde.</w:t>
        <w:br/>
        <w:br/>
        <w:t>I ett tredje fall, som av grannarna anmäldes till byrån, var hemmet fattigt och slarvigt och bostaden osund. Barnet. som var klent och efterblivet, fick i hemmet icke erforderlig vård. Modern var slö och fadern var dum och envis. Barnavårdsbyrån erbjöd då, att barnet skulle få sjukhusvård. Modern samtyckte, men fadern nekade att lämna barnet ifrån sig. Det är några år sedan. Barnet är ännu kvar i hemmet. dess tillstånd har försämrats.</w:t>
        <w:br/>
        <w:br/>
        <w:t>T det fjärde fallet voro föräldrarna fattiga och barnet mycket sjukt. Läkaren skrev remiss, och plats bereddes på barnsjukhus. Rotemansintyg och andra nödiga papper anskaffades. men modern nekades av fadern att lämna barnet till sjukhuset. Fadern ville ej ge-</w:t>
        <w:br/>
        <w:br/>
        <w:t>nom barnets sjukhusvistelse komma att häfta i skuld till fattigvården. Barnet dog i hemmet.</w:t>
        <w:br/>
        <w:br/>
        <w:t>I femte fallet slutligen behövde barnet för någon åkomma speciell sjukhusvård. Fadern nekade modern att lämna barnet till sjukhus, emedan han icke, genom att komma i skuld till fattigvården för barnets sjukhusvistelse, ville riskera att få sin motbok indragen.</w:t>
        <w:br/>
        <w:br/>
        <w:t>Jag hörde med uppmärksamhet på herr Leos yttrande nyss, och jag fann det vara rätt så tänkvärt vad han sade. Men jag vill hemställa till herr Leo och övriga herrar här i kammaren, om herrarna verkligen anse, att i alla dessa fall, vilka, som jag nämnde, skulle kunna mångfaldigas, det verkligen vore önskvärt, att det icke hade funnits i lagen en bestämmelse, som sade, att domstol skall dock till sist ordna, vem som skall bestämma över barnet.</w:t>
        <w:br/>
        <w:br/>
        <w:t>Herr Leo har nog rätt i att en hänvändelse till domstolen i dylika fall lätt för med sig misshälligheter i äktenskapet, men han har icke rätt i att bibehållandet av en mer eller mindre god sämja 1 äktenskapet är viktigare än att i många fall ett avgörande träffas, som är till barnets bästa. Han har icke heller rätt uti, att i sådana fall som dem jag nämnt. det också för barnet är förmånligt, att saken får ordna sig själv. d. v. s. att den hänsynlösaste får råda.</w:t>
        <w:br/>
        <w:br/>
        <w:t>Jag ber herrarna tänka på de fall jag anfört. Vartenda sådant fall borde ropa till oss alla, att vi skola se till, att sådant icke för framtiden får fortfara. När vi stifta denna lag, är det visserligen vackert. att vi tänka på och söka ställa det så, att vi icke åstadkomma onödig misshällighet i äktenskapet, men det finnes en sak, mina herrar, som är viktigare ändå, och det är att ej genom olämpliga bestimmanden om barnet dess framtid tar obotlig skada.</w:t>
        <w:br/>
        <w:br/>
        <w:t>Jag anser mig således, herr talman. ha mycket goda skäl för mitt yrkande om bifall till utskottets förslag.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1464</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