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370</w:t>
      </w:r>
    </w:p>
    <w:p>
      <w:r>
        <w:rPr>
          <w:b/>
        </w:rPr>
        <w:t xml:space="preserve">Datum: </w:t>
      </w:r>
      <w:r>
        <w:t>1920-04-17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Axel Reuterskiöld (Utan partibeteckning, man)</w:t>
      </w:r>
    </w:p>
    <w:p>
      <w:r>
        <w:rPr>
          <w:b w:val="0"/>
        </w:rPr>
        <w:t>Herr talman! Vid denna paragraf har jag i avgiven reservation uttalat, att paragrafen borde avslås, och herrar Rogberg och Pettersson i Bjällbo hava instämt i denna mening.</w:t>
        <w:br/>
        <w:br/>
        <w:t xml:space="preserve">Frågan är, om en </w:t>
      </w:r>
      <w:r>
        <w:rPr>
          <w:b/>
        </w:rPr>
        <w:t>hustru²</w:t>
      </w:r>
      <w:r>
        <w:rPr>
          <w:b w:val="0"/>
        </w:rPr>
        <w:t>, som eventuellt tjänstgör på sin mans affärskontor eller på annat sätt biträder honom i hans affär eller i Jordbruk, skall på det sätt lagförslaget angiver kunna göra anspråk på ersättning. Vi hava ansett och trott det vara riktigt, att den ersättningsfrågan över huvud taget icke bör här upptagas. Jag hänvisar till den motivering jag anfört i min reservation, och ber att få yrka avslag på paragrafen.</w:t>
      </w:r>
    </w:p>
    <w:p>
      <w:pPr>
        <w:pStyle w:val="Heading2"/>
      </w:pPr>
      <w:r>
        <w:t>2. Assar Åkerman (Socialdemokraterna, man)</w:t>
      </w:r>
    </w:p>
    <w:p>
      <w:r>
        <w:rPr>
          <w:b w:val="0"/>
        </w:rPr>
        <w:t>Jag anhåller om bifall till utskottets förslag. Så vitt jag förstår, är det alldeles nödvändigt att taga paragrafen sådan den där föreligger. Gör man icke det, måste på frågan anläggas allmänna civilrättsliga synpunkter, och då makarna genom förslaget i övrigt gjorts självständiga mot varandra, skulle man komma in i ett fullständigt virrvarr, om man icke godkände denna paragraf. Nu ha för övrigt i paragrafen gjorts vissa inskränkningar beträffande de allmänna civilrättsliga reglerna, som måste göra saken mera tilltalande. Med anledning därav ber jag att få yrka bifall till utskottets förslag.</w:t>
      </w:r>
    </w:p>
    <w:p>
      <w:pPr>
        <w:pStyle w:val="Heading2"/>
      </w:pPr>
      <w:r>
        <w:t>3. Ernst Klefbeck (Socialdemokraterna, man)</w:t>
      </w:r>
    </w:p>
    <w:p>
      <w:r>
        <w:rPr>
          <w:b w:val="0"/>
        </w:rPr>
        <w:t xml:space="preserve">Såvitt jag förstår, var den skildring, som herr Reuterskiöld gav av paragrafens betydelse, icke fullt riktig. Den gäller, om en </w:t>
      </w:r>
      <w:r>
        <w:rPr>
          <w:b/>
        </w:rPr>
        <w:t>hustru²</w:t>
      </w:r>
      <w:r>
        <w:rPr>
          <w:b w:val="0"/>
        </w:rPr>
        <w:t xml:space="preserve"> är anställd på sin mans affärskontor, men paragrafen gäller icke, när det är fråga om en </w:t>
      </w:r>
      <w:r>
        <w:rPr>
          <w:b/>
        </w:rPr>
        <w:t>hustru²</w:t>
      </w:r>
      <w:r>
        <w:rPr>
          <w:b w:val="0"/>
        </w:rPr>
        <w:t>, som arbetar 1 Jordbruket på gården.</w:t>
      </w:r>
    </w:p>
    <w:p>
      <w:pPr>
        <w:pStyle w:val="Heading2"/>
      </w:pPr>
      <w:r>
        <w:t>4. Herman Rogberg (Första kammarens nationella parti, man)</w:t>
      </w:r>
    </w:p>
    <w:p>
      <w:r>
        <w:rPr>
          <w:b w:val="0"/>
        </w:rPr>
        <w:t xml:space="preserve">Herr talman! Det är möjligt, att den uppfattning, för vilken herr Klefbeck nu gjort sig till tolk, kan i praktiken vinna avseende, men långt ifrån säkert är det inte, och med skäl kan man uppkasta den frågan: När den på kontoret arbetande </w:t>
      </w:r>
      <w:r>
        <w:rPr>
          <w:b/>
        </w:rPr>
        <w:t>hustrun²</w:t>
      </w:r>
      <w:r>
        <w:rPr>
          <w:b w:val="0"/>
        </w:rPr>
        <w:t xml:space="preserve"> skall komma i tillfälle att få ersättning, varför skall då icke jordbrukarens </w:t>
      </w:r>
      <w:r>
        <w:rPr>
          <w:b/>
        </w:rPr>
        <w:t>hustru²</w:t>
      </w:r>
      <w:r>
        <w:rPr>
          <w:b w:val="0"/>
        </w:rPr>
        <w:t xml:space="preserve"> även få sådan. Bestämmelsen är onödig för den händelse att </w:t>
      </w:r>
      <w:r>
        <w:rPr>
          <w:b/>
        </w:rPr>
        <w:t>hustrun²</w:t>
      </w:r>
      <w:r>
        <w:rPr>
          <w:b w:val="0"/>
        </w:rPr>
        <w:t xml:space="preserve"> träffar uppgörelse med mannen om ersättning för biträde i hans affärsverksamhet, ty då gälla, såsom herr Äkerman antydde, de allmäna civilrättsliga reglerna. Som anledning för paragrafens intagning i lagen har framhållits av lagberedningen, att det mycket väl kan tänkas, att en överenskommelse mellan </w:t>
      </w:r>
      <w:r>
        <w:rPr>
          <w:b/>
        </w:rPr>
        <w:t>hustrun²</w:t>
      </w:r>
      <w:r>
        <w:rPr>
          <w:b w:val="0"/>
        </w:rPr>
        <w:t xml:space="preserve"> och mannen skulle vara vansklig för </w:t>
      </w:r>
      <w:r>
        <w:rPr>
          <w:b/>
        </w:rPr>
        <w:t>hustrun²</w:t>
      </w:r>
      <w:r>
        <w:rPr>
          <w:b w:val="0"/>
        </w:rPr>
        <w:t xml:space="preserve"> att få igenom, ändå att det i och för sig skulle vara befogat, att </w:t>
      </w:r>
      <w:r>
        <w:rPr>
          <w:b/>
        </w:rPr>
        <w:t>hon²</w:t>
      </w:r>
      <w:r>
        <w:rPr>
          <w:b w:val="0"/>
        </w:rPr>
        <w:t xml:space="preserve"> finge ersättning för sitt arbete. Med anslutning till min förut i dag uttalade uppfattning, att denna nya lagstiftning i stort sett skall verka försvagande på äktenskapet, och att makarna måhända i långt större utsträckning än hittills skett komma att begagna sig av möjligheterna till skilsmässa, vill jag påstå, att om det är vanskligt för en </w:t>
      </w:r>
      <w:r>
        <w:rPr>
          <w:b/>
        </w:rPr>
        <w:t>hustru²</w:t>
      </w:r>
      <w:r>
        <w:rPr>
          <w:b w:val="0"/>
        </w:rPr>
        <w:t xml:space="preserve"> att på frivillighetens väg av mannen få ersättning för honom lämnat biträde, så skall det vara än vanskligare för </w:t>
      </w:r>
      <w:r>
        <w:rPr>
          <w:b/>
        </w:rPr>
        <w:t>henne²</w:t>
      </w:r>
      <w:r>
        <w:rPr>
          <w:b w:val="0"/>
        </w:rPr>
        <w:t xml:space="preserve"> att få fram</w:t>
        <w:br/>
        <w:br/>
        <w:t xml:space="preserve">den på lagens väg, ty även där gäller det, att han kan möta </w:t>
      </w:r>
      <w:r>
        <w:rPr>
          <w:b/>
        </w:rPr>
        <w:t>hennes²</w:t>
      </w:r>
      <w:r>
        <w:rPr>
          <w:b w:val="0"/>
        </w:rPr>
        <w:t xml:space="preserve"> Förslag till anspråk på ersättning med den förklaring, att han finner detta an- Yäftermölsbalk, språk så obefogat, att han däri ser en anledning till att väcka fråga (Forts) om äktenskapets upplösning.</w:t>
        <w:br/>
        <w:br/>
        <w:t>Denna bestämmelse blir nog utan verkan, men den står föga i överensstämmelse med äktenskapets idé, varför jag, herr talman,</w:t>
        <w:br/>
        <w:br/>
        <w:t>ber att få instämma i det yrkande, som här framställts av herr Reuterskiöld.</w:t>
        <w:br/>
        <w:br/>
        <w:t>Efter härmed slutad överläggning gjordes jämlikt framkomna yrkanden propositioner, först på godkännande av nu förevarande paragraf samt vidare på avslag å densamma; och förklarades den förra propositionen, vilken upprepades, vara med övervägande ja besvarad.</w:t>
        <w:br/>
        <w:br/>
        <w:t>Har make genom vanvård av sina ekonomiska angelägenheter, genom missbruk av rätten att råda över sitt giftorättsgods eller genom annat otillbörligt förfarande vållat, att detta väsentligen minskats, äge andra maken erhålla vederlag därför av makarnas giftorättsgods. Räcker det ej till, och har den vederlagsskyldige enskild egendom, gånge för hälften av vad som brister vederlag ut av den enskilda egendom, som ej erfordras för täckning av gäld.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