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391</w:t>
      </w:r>
    </w:p>
    <w:p>
      <w:r>
        <w:rPr>
          <w:b/>
        </w:rPr>
        <w:t xml:space="preserve">Datum: </w:t>
      </w:r>
      <w:r>
        <w:t>1921-02-20</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Birger Ekeberg (–, man)</w:t>
      </w:r>
    </w:p>
    <w:p>
      <w:r>
        <w:rPr>
          <w:b w:val="0"/>
        </w:rPr>
        <w:t>Herr greve och talman, mina herrar! De ändringsoch nybyggnadsarbeten vid statens uppfostringsanstalt å Venngarn, som i denna punkt avses, äro i hög grad av behovet påkallade. I statsrevisorernas berättelse till 1917 års riksdag betonades starkt otillräckligheten och bristfälligheten hos de byggnader, som redan finnas, och vid ett besök på platsen har jag förvissat mig om, att särskilt vad ekonomibyggnaderna beträffar ett vidare dröjsmål icke är tillrådligt. Då emellertid styrelsen för Bona och Venngarn bestämt förklarat sig anse det vara omöjligt att inom ramen av tidigare beviljat anslag realisera hela byggnadsplanen, framställdes i statsverkspropositionen ett förslag att med de redan anvisade medlen realisera en viss del av denna byggnadsplan. Statsutskottet är emellertid av den meningen, att med de prisreduktioner, som äro att förvänta, byggnadsarbetet nu bör kunna upptagas och bedrivas enligt den ursprungliga planen, och att de redan beviljade medlen härtill lämna tillgång. Jag medger gärna, att utsikterna härför te sig ljusare nu än då statsverkspropositionen gjordes upp, men jag är oviss, huruvida icke utskottet ser något för optimistiskt på saken. Jag fattar emellertid utskottets uttalande så, att dessa trängande byggnadsarbeten icke skola behöva uppskjutas ända tills man känner sig fullt viss om att de kunna fullföljas inom ramen för det beviljade anslaget, utan att arbetet skall kunna upptagas snart nog och sedan fullföljas med iakttagande av största möjliga sparsamhet.</w:t>
        <w:br/>
        <w:br/>
        <w:t>Det torde knappast vara erforderligt tillägga, att det alltid varit min mening, att man vid arbetets bedrivande i största möjliga utsträckning skall tillgodogöra sig gårdens egna resurser och den arbetskraft, som där finnes att tillgå, liksom att det bör övervägas, huruvida icke med vikande konjunkturer det kan ställa sig mindre förmånligt att upplåta arbetet på entreprenad än att bygga på annat sätt.</w:t>
        <w:br/>
        <w:br/>
        <w:t xml:space="preserve">görelse för bränsle, belysning, inventarier m. m. vid anstalten samt bidrag , åriga </w:t>
      </w:r>
      <w:r>
        <w:rPr>
          <w:b/>
        </w:rPr>
        <w:t>kvinn¹</w:t>
      </w:r>
      <w:r>
        <w:rPr>
          <w:b w:val="0"/>
        </w:rPr>
        <w:t>-</w:t>
      </w:r>
    </w:p>
    <w:p>
      <w:pPr>
        <w:pStyle w:val="Heading2"/>
      </w:pPr>
      <w:r>
        <w:t>2. Birger Ekeberg (–, man)</w:t>
      </w:r>
    </w:p>
    <w:p>
      <w:r>
        <w:rPr>
          <w:b w:val="0"/>
        </w:rPr>
        <w:t>Herr greve och talman! Det rör sig här om en obetydlig summa, men jag anser likväl, att frågan icke bör passera utan några ord från min sida.</w:t>
        <w:br/>
        <w:br/>
        <w:t xml:space="preserve">Det förhåller sig så, att svenska diakonissällskapet enligt överenskommelse med staten å egendomen Viebäck i Jönköpings län mottager minderåriga </w:t>
      </w:r>
      <w:r>
        <w:rPr>
          <w:b/>
        </w:rPr>
        <w:t>kvinnliga¹</w:t>
      </w:r>
      <w:r>
        <w:rPr>
          <w:b w:val="0"/>
        </w:rPr>
        <w:t xml:space="preserve"> förbrytare, som enligt domstols förordnande skola insättas å allmän uppfostringsanstalt. Ett kontrakt är uppgjort angående viss ersättning, och denna ersättning vill diakonissällskapet ha höjd. Sällskapet har i sådant syfte gjort en enligt min mening både måttfull och väl motiverad framställning. Det gäller höjning dels av ersättningen för hyra, dels för bränsle, belysning m. m., tillhopa med ett belopp av 9,600 kronor, som äskas dels på tilläggsstaten för år 1921 och dels med samma belopp på riksstaten för år 1922.</w:t>
        <w:br/>
        <w:br/>
        <w:t>Utskottet har nu tillstyrkt anslaget på tilläggsstaten oavkortat men däremot prutat av 2,100 kronor på riksstaten. Det förefaller mig, som om det vore synnerligen önskligt, att beloppet beviljades fullt ut även på riksstaten. Av tillgängliga räkenskaper för anstalten framgår det nämligen, att anstalten å denna verksamhet, på vilken den har lagt en filantropisk synvinkel, gjort ganska betydande förluster. Under åren 1916—1918 uppgå dessa förluster, har det för mig uppgivits, till omkring 35,000 kronor, och under år 1919 till inemot 25,000 kronor. Siffran för år 1920 är ännu ej klar, men torde stanna vid ett lägre belopp.</w:t>
        <w:br/>
        <w:br/>
        <w:t>Utskottet grundar nu sin nedprutning på två argument. Dels anses anslagsposten för hyra till anstalten avsevärt hög, och dels väntar man sjunkande bränslepris. Vad särskilt det första argumentet angår, förefaller det mig som om utskottet skulle brutit udden av detsamma genom att bevilja anslaget fullt ut på tilläggsstaten.</w:t>
      </w:r>
    </w:p>
    <w:p>
      <w:pPr>
        <w:pStyle w:val="Heading2"/>
      </w:pPr>
      <w:r>
        <w:t>3. Karl Ekman (Första kammarens nationella parti, man)</w:t>
      </w:r>
    </w:p>
    <w:p>
      <w:r>
        <w:rPr>
          <w:b w:val="0"/>
        </w:rPr>
        <w:t>Jag ber få säga, att herr statsrådets sista slutsats förstod jag egentligen icke. Det förhåller sig ju så, att utskottet slutligen tillstyrkt hela det på tilläggsstaten begärda beloppet av hänsyn till en senare tillkommen uppgift om de förluster, som anstalten ifråga gjort under år 1920. Dessa förluster äro givetvis beroende på den allmänna dyrtid, som då rådde. Det var med hänsyn till denna under år 1920 inträffade förlust som utskottet av billighetsskäl ville gå så långt att på tilläggsstaten bevilja hela det begärda be-</w:t>
        <w:br/>
        <w:br/>
        <w:t>loppet, men däremot föreslå nedsättning för år 1922 med, :som herr statsrådet anförde, 2,100 kronor. Det är ju detta sistnämnda belopp, som måste anses normerande för utskottets uppfattning om hyresbeloppets storlek i fortsättningen, och det förefaller mig sålunda, som om utskottets motivering i detta avseende skulle stå i god överensstämmelse med utskottets kläm.</w:t>
        <w:br/>
        <w:br/>
        <w:t>De större förluster, varom herr statsrådet talade, hade ju inträffat under tidigare år, men det kan väl ändå icke vara riktigt lämpligt, att man kompenserar ännu tidigare förluster genom bestämmelser om ökning av hyran i fortsättningen. Det är dock så, att den' hyresökning, som begärts, hänför sig till hus, uppförda under sådana förhållanden, att den prissättning på hyran, som efter utskottets beräkning är gjord, måste anses vara tillräcklig.</w:t>
        <w:br/>
        <w:br/>
        <w:t>Jag hemställer, herr talman, om bifall till utskottets förslag.</w:t>
      </w:r>
    </w:p>
    <w:p>
      <w:pPr>
        <w:pStyle w:val="Heading2"/>
      </w:pPr>
      <w:r>
        <w:t>4. Ernst Klefbeck (Socialdemokraterna, man)</w:t>
      </w:r>
    </w:p>
    <w:p>
      <w:r>
        <w:rPr>
          <w:b w:val="0"/>
        </w:rPr>
        <w:t xml:space="preserve">Herr talman! Efter herr statsrådets anförande har jag just ingenting .att tillägga. Jag vill blott gent emot den siste ärade talaren framhålla, att enligt min mening staten har rätt stor förpliktelse mot diakonissanstalten, som åtagit sig uppdraget att till fostran mottaga minderåriga </w:t>
      </w:r>
      <w:r>
        <w:rPr>
          <w:b/>
        </w:rPr>
        <w:t>kvinnliga¹</w:t>
      </w:r>
      <w:r>
        <w:rPr>
          <w:b w:val="0"/>
        </w:rPr>
        <w:t xml:space="preserve"> förbrytare, som dömts till tvångsuppfostran. Det var under synnerligen kritiska och svåra förhållanden som man började, och ännu svårare hava de förhållanden varit, under vilka man fortsatt sin verksamhet. När staten själv icke hade några anstalter, dit dessa </w:t>
      </w:r>
      <w:r>
        <w:rPr>
          <w:b/>
        </w:rPr>
        <w:t>kvinnor¹</w:t>
      </w:r>
      <w:r>
        <w:rPr>
          <w:b w:val="0"/>
        </w:rPr>
        <w:t xml:space="preserve"> kunde skickas, så var det ju en stor förmån för staten att kunna få anlita diakonissanstaltens hjälp.</w:t>
        <w:br/>
        <w:br/>
        <w:t>Nu är jag statsutskottet ärligt tacksam för att det vill göra alla besparingar, som kunna ske, men då det här gäller en skillnad i utgifter på endast 2,100 kronor, vill jag ändå hemställa till kammaren, om den icke skulle kunna gå med på Kungl. Maj:ts proposition. Det är visserligen sant, att utgiften för varje å anstalten intagen elev är mycket hög, men det är ju en erfarenhet, som vi få göra på alla anstalter, att vården av stackars vilsegångna människor alltid blir mycket dyr. Skillnaden är sålunda den, att denna höga kostnad nu blott indirekt drabbar staten, men om staten byggt egna anstalter, skulle den direkt ha åvilat staten. Dessa höga kostnader komma vi, menar jag, icke i någotdera fallet ifrån.</w:t>
        <w:br/>
        <w:br/>
        <w:t>Det har, särskilt när statsutskottet påpekat, att kostnaderna vore för höga, framhållits, att bränslepriserna gått ned. Jag vill då fästa uppmärksamheten på, att diakonissanstalten i sina beräkningar utgått från priset på barrved, men sedan i samma beräkningar framhållit, att på tre av hemmen barrveden kunde utbytas mot torv, varigenom en minskning enligt anstaltens egen beräkning skulle inträda med 10 PR. Man har sålunda, såvitt jag förstår, vidtagit de åtgärder, som kunna komma ifråga, för att åstadkomma nedsättning av bränslekostnaderna.</w:t>
        <w:br/>
        <w:br/>
        <w:t>Jag vill därför helt vördsamt mana kammaren att tänka på denna sak. Diakonissanstalten lever i allmänhet under rätt brydsamma för-</w:t>
        <w:br/>
        <w:br/>
        <w:t>hållanden, den gör det alldeles särskilt beträffande denna sin verksam- !Hyresersätthet. Om man skall tala om riksdagens värdighet, vilket uttryck Jag för uppfosttycker man rätt ofta missbrukar, skulle jag ändå vilja fråga, om Vi ringsanstalt verkligen anse det vara riktigt, att diakonissanstalten för denna sinför minder-</w:t>
        <w:br/>
        <w:br/>
        <w:t>verksamhet skall vara i hög grad hänvisad till privata gåvor från barm- Ton härtiga människor, då det faktiskt är ett statsintresse, som genom an- 7” förbEystaltens verksamhet på detta område hålles vid makt. (Forts.)</w:t>
        <w:br/>
        <w:br/>
        <w:t>Jag hemställer därför om bifall till Kungl. Maj:ts proposition.</w:t>
      </w:r>
    </w:p>
    <w:p>
      <w:pPr>
        <w:pStyle w:val="Heading2"/>
      </w:pPr>
      <w:r>
        <w:t>5. Halfred von Koch (–, man)</w:t>
      </w:r>
    </w:p>
    <w:p>
      <w:r>
        <w:rPr>
          <w:b w:val="0"/>
        </w:rPr>
        <w:t>Jag är väsentligen förekommen av den siste ärade talaren. Liksom han är jag utskottet tacksam för alla de åtgärder, som i sparsamhetssyfte kunna vidtagas, men jag tror, att sparsamhet kan gå för långt och icke vara befogad. Och detta är enligt min tanke fallet i föreliggande fråga. Jag har sökt bilda mig en uppfattning av den ifrågavarande institutionens verksamhet genom besök på platsen och har även genom studium av liknande anstalter kommit till den uppfattningen, att diakonissällskapet försökt att ordna denna verksamhet på det mest ekonomiska sätt, som är möjligt. Jag tror även, att detta kan bestyrkas av de jämförelser beträffande kostnaderna, som gjorts av sakkunniga personer ifråga om olika anstalter av detta slag. Jag har icke de senaste uppgifterna till hands, men jag vet, att kostnaden år 1917 för en elev på Viebäck var 610 kronor. Det var den lägsta kostnad som förekom beträffande detta slags anstalter. På statens anstalt vid Bona var kostnaden ej mindre än dubbelt så hög, nämligen 1,200 kronor.</w:t>
        <w:br/>
        <w:br/>
        <w:t>Det är kanhända en obetydlig sak, den som här föreligger, men själva innebörden är dock av principiell natur. Här är det en enskild institution, som tagit hand om en mycket viktig uppgift och som, såvitt jag förstår, sköter densamma på förträffligt sätt. Jag tror denna anordning är till fördel för staten både ur ekonomisk synpunkt och för själva skyddsarbetet. Jag skulle därför anse det olämpligt, att riksdagen ställde sig för ekonomiskt återhållsam gent emot en dylik verksamhet, så att vederbörande, som upprätthålla denna verksamhet, skulle känna sig i någon mån misströstande och icke ha den arbetslust, som därför erfordras. Det är säkerligen riktigt, att när det gäller en verksamhet, som staten har skyldighet att tillse, att den kommer till stånd, man söker ställa det på det mest fördelaktiga sätt för den enskilda institution, som tagit upp densamma.</w:t>
        <w:br/>
        <w:br/>
        <w:t>Jag har med detta velat uttrycka den uppfattningen, att det endast för det fall att vederbörande institution kommer med alldeles orimliga eller olämpliga krav, som man bör göra avdrag på dess önskningar. I detta fall föreligga dock, enligt min tanke åtminstone, inga sådana krav, utan jag tror det är riktigt att gå med på den begäran, som diakonisssällskapet framställt.</w:t>
        <w:br/>
        <w:br/>
        <w:t>Jag ber därför att få förena mig i yrkandet om bifall till Kungl. Maj:ts förslag.</w:t>
      </w:r>
    </w:p>
    <w:p>
      <w:pPr>
        <w:pStyle w:val="Heading2"/>
      </w:pPr>
      <w:r>
        <w:t>6. Karl Ekman (Första kammarens nationella parti, man)</w:t>
      </w:r>
    </w:p>
    <w:p>
      <w:r>
        <w:rPr>
          <w:b w:val="0"/>
        </w:rPr>
        <w:t xml:space="preserve">Jag tror, att ingen i riksdagen, för uppfostoch jag är övertygad om ingen i statsutskottet förnekar, att icke riks- Fingsanstalt dagen och statsutskottet stå i tacksamhetsskuld till diakonissanstalten för för minderdet arbete den utfört och utför på Viebäck. I detta avseende ha ju åriga </w:t>
      </w:r>
      <w:r>
        <w:rPr>
          <w:b/>
        </w:rPr>
        <w:t>kvinnbåde¹</w:t>
      </w:r>
      <w:r>
        <w:rPr>
          <w:b w:val="0"/>
        </w:rPr>
        <w:t xml:space="preserve"> utskottet och riksdagen flera gånger haft tillfälle att uttala sitt liga förbryomdöme. Framför allt skedde det, då för omkring ett år sedan såväl (Forts,) driftskostnadsstaten som hyresförhållandena där reglerades efter en förut företagen utredning. Denna utredning skedde ju i gott samförstånd med anstaltens egen styrelse, och man kom då till ett resultat, som man från anstaltens sida förklarade vara i allo tillfredsställande. Det är icke mer än ungefär ett år sedan en sådan utredning verkställdes, och det därav föranledda förslaget blev förordat av statsutskottet och bifallet av riksdagen. Vid sådant förhållande och då den gjorda driftskostnadsberäkningen avsågs innebära ett sådant tillskott från statens sida, att den verkliga och hela kostnaden för verksamheten där skulle komma att bestridas av statsmedel — det är vid sådant förhållande, säger jag, och med hänsyn till att vi nu befinna oss i nedgående konjunkturer, som utskottet funnit sig i viss mån något böra begränsa detnu begärda anslaget. På grund av förhållandena år 1920 har man, som jag förut nämnt, i utskottet varit med om en ökning vad årets tilläggsstat beträffar. Jag tror sålunda det finnes goda skäl för utskottets ståndpunkt. Om herr von Koch vore den bestämmande, skulle vi nog inte, det medgiver jag gärna, på åtskilliga punkter gå så långt ifråga om sparsamhet som nu är fallet. Jag tror dock, att man i statsutskottet vid avvägande av denna fråga tagit behörig hänsyn till</w:t>
        <w:br/>
        <w:br/>
        <w:t>de skäl, som i detta fall böra vara avgörande.</w:t>
        <w:br/>
        <w:br/>
        <w:t>Det är för övrigt säkert också så, att vad som här beslutas i viss mån kommer att återverka på åtskilliga andra framställningar om anslag. Det föreligger nu nya sådana från andra, med denna anstalt besläktade institutioner, och vad som här bestämmes kommer nog i viss mån att återverka jämväl på äskanden ifråga om dessa.</w:t>
        <w:br/>
        <w:br/>
        <w:t>Då jag sålunda hyser den uppfattningen, att vad utskottet hemställt med hänsyn till förestående prisfall är tillräckligt, ber jag fortfarande få yrka bifall till utskottets förslag.</w:t>
      </w:r>
    </w:p>
    <w:p>
      <w:pPr>
        <w:pStyle w:val="Heading2"/>
      </w:pPr>
      <w:r>
        <w:t>7. Halfred von Koch (–, man)</w:t>
      </w:r>
    </w:p>
    <w:p>
      <w:r>
        <w:rPr>
          <w:b w:val="0"/>
        </w:rPr>
        <w:t>Med anledning av det sista yttrandet vill jag svara, att för oss, som icke känna till de andra institutioner, vilka möjhgtvis skulle kunna bli påverkade av beslutet, det är ganska svårt att taga ståndpunkt till, vad herr Ekman nyss sade. Men jag begagnar tillfället nämna, att det är möjligt, att denna institution, som vi nu tala om, i fall den får fortsätta sin verksamhet som hittills, i framtiden kommer att få ökad betydelse. Alla känna ju till, att det är fråga om att vidtaga vissa förbättringsoch uppfostringsåtgärder för ungdom över 18 år, och det är väl icke alldeles uteslutet, att diakonissanstalten, om den får fortsätta sin verksamhet ekonomiskt tryggad, också skall vara villig att upptaga den uppgift ifråga om anstaltsvård, som då kräves. Just</w:t>
        <w:br/>
        <w:br/>
        <w:t>för att diakonissällskapet icke skall förtröttas utan fortsätta sitt arbete med oförminskat intresse, tror jag det är klokt att gå med på dess hemställan.</w:t>
        <w:br/>
        <w:br/>
        <w:t>ställt, att riksdagen ville besluta eller hos regeringen begära skyndsamt förslag till en av regering och riksdag antagen författning om val genom</w:t>
      </w:r>
    </w:p>
    <w:p>
      <w:pPr>
        <w:pStyle w:val="Heading2"/>
      </w:pPr>
      <w:r>
        <w:t>8. Carl Lindhagen (–, man)</w:t>
      </w:r>
    </w:p>
    <w:p>
      <w:r>
        <w:rPr>
          <w:b w:val="0"/>
        </w:rPr>
        <w:t>När frågan om Sveriges anslutning till folkens förbund här första gången förelåg, restes åtminstone från min sida intet motstånd häremot i annat avseende än att det program, som låg till grund för denna anslutning, icke syntes mig acceptabelt, utan jag ansåg, att de svenska statsmakterna i stället borde svara: Vi vilja gärna vara med om nationernas förbund, men vi fordra ett nytt konstituerande .sammanträde med alla för antagandet av ett kärleksfullt program.</w:t>
        <w:br/>
        <w:br/>
        <w:t>Emellertid beslöto de svenska statsmakterna att obetingat ansluta sig till den föreliggande konstitutionen, men det uttalades på samma gång, att det nu först och främst gällde att förbättra densamma och att det var därför vi gingo in i förbundet. Det kan ju då i denna nya tid, när Sverige dels har en egen representation för sina inre politiska angelägenheter, dels också uppgår i en större sammanslutning, omfattande hela världen, inom vilken de yttersta och viktigaste avgörandena i själva verket komma att äga rum — det kan då ifrågasättas, huruvida ej den demokratiska organisationen av detta världssamhälle, som är så nödvändigt för världen, med lika fog som den inre politiska organisationen lämpligen och skäligen bör uppbyggas efter de grundsatser, som vi anslutit oss till under en hel generations strider. Hur skall det annars gå, om, såsom det nu är ordnat, det icke är något folkens förbund utan ett regeringarnas förbund, som regerar över oss, under det man i den inre politiken gjort åtminstone ett famlande försök att skapa en folklig representation? Det betyder ju bara, att det nu kommer igen en mäktig överbyggnad på grundvalen av den gamla organisationen och de gamla metoderna för att ytterligare trycka ned det lilla vi vunnit i inrikespolitiskt avseende. Vore det icke därför, menar jag, en självfallen sak, som vi borde sträva efter, att också detta världsparlament, som här kallas delegerademöten, bleve organiserat på ungefär samma sätt som värt nuvarande parlament — icke därför att detta kan sägas vara någon idealisk ordning, men det är ett av dessa tusen tuppfjät, som vi måste taga för att från den ena bagatellen till den andra arbeta oss fram till bättre tider.</w:t>
        <w:br/>
        <w:br/>
        <w:t>Skulle det icke också verka fostrande på det svenska folket i utrikespolitiskt avseende, att man verkligen hade det förtroendet och i all synnerhet den kärleken till detsamma, att det finge deltaga i avgörandena, skapa sig en mening och intressera sig för dessa mellanfolkliga problem, som alltmer överskugga allt och alla och sålunda även oss? Och skulle det icke till sist väcka ett verkligt unikt intresse hos svenska folket att</w:t>
        <w:br/>
        <w:br/>
        <w:t>Ang. val av för en gångs skull få gå till val, där man icke vore inpiskad under partiena fl beteckningen, utan där var och en man kunde följa sin egen övertygelse? ket vid natio-Det är ju nämligen föreslaget i motionen, och det kan icke ordnas på annat nernas för- Sätt, att likaväl som dubbla val nu skola äga rum t. ex. i Stockholm för bunds delege-att utse dels stadsfullmäktige och dels elektorer för val till riksdagens NERE första kammare för Stockholms stad, man vid de allmänna politiska</w:t>
        <w:br/>
        <w:br/>
        <w:t>(Forts.) valen samtidigt för hela riket såsom en valkrets skulle välja ombud för Sverige till världsparlamentet, vid vilket vi nu faktiskt bundit oss. Detta skulle gå till på det sättet, att det ej vore någon partibeteckning men i alla fall proportionella val, ordnade på den grundvalen, att man satte upp kandidater i den ordning man ville ha dem valda och sedan tillade elika röstvärden åt de olika kandidaterna i den ordning de stodo. Ett sådant proportionellt valsätt tillämpas redan av ett parti i riksdagen och även av ett par enskilda föreningar, som använda ett liknande proportionellt valsätt. För en enda gång kunde vi då rösta på de personer, vilka vi ville ha och sätta upp dem i den ordning vi ville ha dem. Det skulle ha nyhetens behag i allra högsta grad i dessa proportionalismens tider.</w:t>
        <w:br/>
        <w:br/>
        <w:t>Denna tanke har ej flugit i mitt huvud först nu, utan så länge jag sysslat med denna sak, har jag haft klart för mig, att världsparlamentet skulle väljas av folket, och likaså att det icke finge väljas av riksförsamlingen, ty då bliva de väljande endast kommenderade av partiledarne till att välja dessa, utan det skulle bli allmänna val. Detta uttalade jag redan i en motion 1915.</w:t>
        <w:br/>
        <w:br/>
        <w:t>Nu finnes det, såsom utskottet konstaterat, för de särskilda nationerna intet hinder i förbundsakten mot att skrida till val på sådant sätt, och det felades bara, att ett sådant hinder skulle vara rest. Tvärtom talar förbundsförfattningen antydningsvis om, att det kan väljas även annorlunda än av regeringarna, och i den proposition, som avläts till riksdagen om denna sak 1920, talades också härom, liksom utskottet erinrat, att man kan tänka sig även andra sätt för valen än regeringsval. Där ser man således, hur den känslan förnimmes och oundvikligt smyger sig in från början. För övrigt kallas själva inrättningen folkens förbund och icke regeringarnas förbund. Redan detta är en antydning om, att man också bör söka förverkliga den etikett, som är satt på det hela. Det stod nyligen i tidningarna — jag har ej själv läst det, men man har berättat det för mig — att precis samma förslag väckts i Italien och, såsom det sades, i italienska parlamentet. Det är således här en tanke, som oundvikligt gör sig gällande med tiden. Uti vår egen författning finns ju intet hinder för att använda sådana val. Jag har nyss antytt, hur det skulle äga rum och att det även är praktiskt utförbart.</w:t>
        <w:br/>
        <w:br/>
        <w:t>Nu tager emellertid utskottet fullständigt avstånd från allt omedelbart deltagande för svenska folket, och man kan ju således säga, att utskottet därmed också ansett, att regeringspropositionens yttrande 1920, att man även kuride tänka sig andra förfaringssätt, var ett förfluget yttrande.</w:t>
        <w:br/>
        <w:br/>
        <w:t>Vad säger då utskottet? Jo, för det första, att man måste ha en ordning, i vilken ligger ”någon garanti för att de för sin uppgift bäst</w:t>
        <w:br/>
        <w:br/>
        <w:t>efter en generations strider ansett ligga i de allmänna valen. Varför Ombud för</w:t>
        <w:br/>
        <w:br/>
        <w:t>skall denna garanti, som anses för den yppersta, när det gäller allmänna fd</w:t>
        <w:br/>
        <w:br/>
        <w:t>val inom riket, anses ofruktbar och obrukbar, när det gäller världsparlanernas för-</w:t>
        <w:br/>
        <w:br/>
        <w:t>mentet och de allra högsta värdena för oss alla? Här se vi redan utskot-bunds delege-</w:t>
        <w:br/>
        <w:br/>
        <w:t>tets nalkande mer och mer från den gamla demokratien till enväldet, 7ademöten.</w:t>
        <w:br/>
        <w:br/>
        <w:t>vilket jag snart skall närmare beskriva. + (Forts) Vidare säger utskottet, att ämnet är av så ytterligt grannlaga natur,</w:t>
        <w:br/>
        <w:br/>
        <w:t>att man ej kan anförtro åt svenska folket att på något sätt utse repre-</w:t>
        <w:br/>
        <w:br/>
        <w:t>sentanter för att bedöma detta, utan det kan bara regeringen, genom</w:t>
        <w:br/>
        <w:br/>
        <w:t>att den utser lämpliga personer. Man kan visserligen säga, att dessa</w:t>
        <w:br/>
        <w:br/>
        <w:t>ärenden äro av grannlaga natur, men på det sättet, att det här gäller</w:t>
        <w:br/>
        <w:br/>
        <w:t>— särskilt för vårt deltagande, då vi icke gått in i förbundet som intres-</w:t>
        <w:br/>
        <w:br/>
        <w:t>serad stormakt utan som rättsmakt — att upprätthålla en ordning, byggd</w:t>
        <w:br/>
        <w:br/>
        <w:t>på rätten. Härom har det i alla tider hetat, att ”folkets röst är guds</w:t>
        <w:br/>
        <w:br/>
        <w:t>röst” — och icke ,regeringarnas. Således med ärenden av grannlaga</w:t>
        <w:br/>
        <w:br/>
        <w:t>natur menar utskottet tvärtom ärenden i gammal diplomatisk mening;</w:t>
        <w:br/>
        <w:br/>
        <w:t>sekretessens, diplomatiens och konjunkturpolitikens grannlagenhet ligger</w:t>
        <w:br/>
        <w:br/>
        <w:t>under detta förmenande. Detta finna vi också av den författning rö-</w:t>
        <w:br/>
        <w:br/>
        <w:t>rande svenska folkets kontroll på utrikespolitiska ärenden, som slutligen</w:t>
        <w:br/>
        <w:br/>
        <w:t>antogs nu nyligen, 1921. Där talas oupphörligt om ärenden av grannlaga</w:t>
        <w:br/>
        <w:br/>
        <w:t>natur. Det har man lärt sig av denna gamla diplomati, som kallar sig</w:t>
        <w:br/>
        <w:br/>
        <w:t>grannlaga ; men denna grannlagenhet är försumpning och sekretess. Det</w:t>
        <w:br/>
        <w:br/>
        <w:t>verkligt grannlaga är att solljuset faller på själva rättsfrågorna, och</w:t>
        <w:br/>
        <w:br/>
        <w:t>sannerligen folket är minst lika kompetent och, enligt min uppfattning,</w:t>
        <w:br/>
        <w:br/>
        <w:t>mer kompetent än regeringarna även på detta område.</w:t>
        <w:br/>
        <w:br/>
        <w:t>I överensstämmelse med detta utskottets påstående tillägges också, att det fordras mycket ingående kännedom om dessa grannlaga spörsmål. Då vill jag säga, att just i dessa spörsmål, som nämnas, det är själva rättsprinciperna, som mer än allt annat överskugga allting. Jag vill i detta sammanhang erinra om den siare, Lao-tsen, som sagt: ”De som äga den sanna insikten, höra ej till de högt lärda, och de, som äro högt lärda, sakna den sanna insikten”. Och i Nya testamentet finnes uttryck för samma tanke, då det heter: ”Det har blivit fördolt för de vise och kloka och uppenbarat för de fåkunniga.” Jag tror således icke, att dessa partiernas fackmän, som regeringen utser och som anses böra omvärva sina yttranden och förslag med sekretess och förakt för folket, alltid äro de yppersta talesmännen som det här gäller att få.</w:t>
        <w:br/>
        <w:br/>
        <w:t>Så säger utskottet vidare, att under ett demokratiskt statsskick man måste antaga, att de som skola av Kungl. Maj:t utses, uppbäras av folkets förtroende. Jaså, det är således meningen med det hela. Sedan vi förut ansett, att folket och representationen var ett och regeringen ett annat, har demokratien börjat upphäva sig själv och behöves icke vidare. Vad skola vi då överhuvud med en folkrepresentation och folkval att göra, om dessa icke uppbäras av den tanken, att alla regeringar, även demokratiska, behöva någon som håller dem i rockskörten och påminner</w:t>
        <w:br/>
        <w:br/>
        <w:t>svenska folket vid natio-</w:t>
        <w:br/>
        <w:br/>
        <w:t>som ledarväldet. Enskilda från alla partier gå omkring och klaga där-</w:t>
        <w:br/>
        <w:br/>
        <w:t>nernas för- Över, och var jag kommer i korridorerna klagar man över att vad som bunds delege-försiggår är något så förskräckligt, men utskottet har upphöjt det till</w:t>
        <w:br/>
        <w:br/>
        <w:t xml:space="preserve">en gudomlig princip, en verklig folkprincip, som med alla möjliga medel skall stödas och tillbedjas. Jag tror tvärtom, att ifall dessa val ske genom folket, ledarna nog också i allmänhet bli valda, ty man sätter ju upp dem som kandidater, men genom att de då få bekänna något slags grundsatser inför folket, kommer det på samma gång en friskare färg över den något förbleknade synen på de viktigare och grundläggande tingen. Jag vet för övrigt icke, varför vi skola vara skyldiga allesammans att på detta sätt ligga och tillbedja dem Kungl. Maj:t utser och som partiledarväldet utser. Är det nödvändigt att antaga, att det är så alldeles utomordentligt allt vad de föreslå? Se bara t. ex. det svar man får i en sådan sak som denna, när man föreslår som en rättighet för svenska folket att ha olika mening om vilka som skola företräda det! På samma sätt är det med våra gamla </w:t>
      </w:r>
      <w:r>
        <w:rPr>
          <w:b/>
        </w:rPr>
        <w:t>systerfolk²</w:t>
      </w:r>
      <w:r>
        <w:rPr>
          <w:b w:val="0"/>
        </w:rPr>
        <w:t xml:space="preserve"> Estland, Lettland och Litauen. Då de i sitt trångmål äntligen fått fördraget med sin östra granne och denne hade erkänt dem, ville de också erkännas av sin västra granne, nämligen Sverige, det gamla moderlandet. Skall man icke räcka en hand åt dem just i deras stund av svårighet? Är det icke en skyldighet för dem, som gå i spetsen för rättens tankar, att utan hänsyn till stormakternas politiska intresseberäkningar räcka dem en hand genast. Nej ingalunda! I delegeradeförsamlingen där nere ansågo de svenska delegerade ej, att man hade rättighet att upptaga dem ens i förbundet, förrän stormakterna ville det. Endast Italien och några andra fingo föra dessa folks talan. Plötsligt slå då ententestormakterna om, icke av rättskänsla utan av egna beräkningar, och erkänna två, Estland och Livland. Då först kommer det svenska rättstänkandet i kölvattnet utan någon ära och utan något kreditkonto, som det kan åberopa sig på i förhållande till dessa folk. Men litauerna äro fortfarande uteslutna och varför? Jo därför att de icke ha sina mellanhavanden med Polen uppklarade. Men Polen har icke heller sina mellanhavanden uppklarade med Litauen. Polen skall dock erkännas, därför att det är stort och mäktigt och har mycket bajonetter, men det lilla Litauen, som icke har sina affärer med Polen uppklarade, behöver man icke räkna med, det bryr man sig icke om. Det är den svenska kölvattenspolitiken! Man kan verkligen ha rättighet att säga sin mening om densamma. Man har en jämförelse härtill uti den författning jag nyss talat om, där sekretessen och nedblickandet på folken är det genomgående draget, angående vilket jag väckt åtskilliga motioner, som vi få tillfälle att språka om, senare.</w:t>
        <w:br/>
        <w:br/>
        <w:t>Vi komma slutligen till utskottets sista skäl, att ur effektivitetens synpunkt regeringen ensam bör ha avgörandet. Detta skäl kommer verk-</w:t>
        <w:br/>
        <w:br/>
        <w:t>ligen som pricken över i-et uti utskottets betänkande. Låtom oss an- Ang. val arv däktigt och med eftertanke höra vad utskottet skriver! Ombng för ”Härtill kommer, att då verkställandet av delegeradeförsamlingens freda beslut beror av förbundsländernas respektive regeringar, dessa uppennernas förbarligen känna sig på ett helt annat sätt bundna av de fattade besluten,bunds delegedå däri deltagit av dem själva utsedda och befullmäktigade ombud, vilka rademöten. vid fullgörande av sitt uppdrag haft tillfälle handla efter regeringarnas (Forts. direktiv och i intim samverkan med dessa. Det nuvarande sättet för representanternas utseende förty är jämväl i effektivitetshänseende att föredraga.” Ett sådant språk lämnar väl intet tvivel om, att demokratien befinner sig i sin fullständigaste upplösning. Regeringen skall ytterst ha kontroll över vad själva världsparlamentet bestämmer, och faller det icke regeringen i tycke, bryr den sig ej om det. Nej, tacka vet jag ett världsparlament, som regeringen själv utsett och givit sina egna direktiv! På det sättet kan det bli samverkan mellan delegerade och regeringen. Att det då kan bli samverkan kan jag förstå, men nu strider det mot våra vanor och förhoppningar. Jag kan mycket väl förstå, att högern, som tror på envåldsmakten som regeringsprincip, kan vara nöjd med detta utlåtande. Men jag undrar, huru många av liberalerna och socialdemokraterna, som verkligen tåla ett sådant kallt stål mitt i sina gamla grundsatser, som utskottet här tillåtit sig. Men de gå nog efter, därför att även de gå i partipolitikens kölvatten. Vår självständighet förintas och demokratien går mot sin undergång. Platon yttrar något härom i sin dialog om staten, vilket uppenbarligen påminner om dessa tider. Han uttalar sig på följande sätt: ”Framkommer nu tyranniet ur demokratien ungefär på samma sätt som demokratien ur oligarkien?” — Det anser han. Vidare säger han: ”Brukar icke folket alltid framför andra uppställa en i spetsen för sig och giva denne stor makt och anseende? Så bruka de göra. Detta är således tydligt, att när en envåldshärskare uppstår, han icke uppspirar ur någon annan rot än folkledarens. Alldeles tydligt. — — —”</w:t>
        <w:br/>
        <w:br/>
        <w:t>Jag förvånar mig ej över detta, ty det är så med alla våra inrättningar, att efter blomstringens kulmen följer undergången. Formaldemokratien har även haft sin blomstring under liberalismens glansdagar, men den har nu nått sin kulmen, när vi vunnit den allmänna och lika rösträtten, och nu kommer nedgången. Utskottet har för sin del påskyndat den ofantligt genom den fullständiga kapitulation, som innefattas i detta sista ofattbara utlåtande, om vilket hela utskottet kunnat ena sig. Det är nästan än värre än jag någonsin kunnat föreställa mig.</w:t>
        <w:br/>
        <w:br/>
        <w:t>Ja, herr talman, nu hade jag yrkat på allmänna val i sammanhang med riksdagsmannavalen och på ett beslut direkt av riksdagen, men då nu ett beslut icke kan komma till stånd, får jag — på samma gång jag för min personliga del förklarar, att val av riksförsamlingen är ungefär lika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391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