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1492</w:t>
      </w:r>
    </w:p>
    <w:p>
      <w:r>
        <w:rPr>
          <w:b/>
        </w:rPr>
        <w:t xml:space="preserve">Datum: </w:t>
      </w:r>
      <w:r>
        <w:t>1921-02-23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Oscar Jonsson (Jordbrukarnas fria grupp, man)</w:t>
      </w:r>
    </w:p>
    <w:p>
      <w:r>
        <w:rPr>
          <w:b w:val="0"/>
        </w:rPr>
        <w:t>Herr talman! Innan jag går in på ett bemötande av utskottets hemställan, ber jag att få redogöra för de synpunkter, som föranlett oss att väcka denna motion, och att samtidigt få beröra en del spörsmål beträffande vad en fattigvårdsstyrelse har att utföra. De synpunkter, jag nämnde, äro för min del grundade på erfarenheter som ordförande inom fattigvårdsstyrelsen i en stor kommun med rörlig befolkning.</w:t>
        <w:br/>
        <w:br/>
        <w:t>. Då 1918 års riksdag antog den nu gällande fattigvårdslagen,</w:t>
        <w:br/>
        <w:br/>
        <w:t>vunnos ju därigenom många betydelsefulla fördelar, ehuru man hoppats, att lagen skulle medföra ännu större. Särskilt hade man trott, att man i största möjliga utsträckning skulle komma ifrån de ofta olidliga processerna fattigvårdssamhällena emellan. Detta processande är en av huvudorsakerna till fattigvårdsstyrelsernas besvärliga arbete.</w:t>
        <w:br/>
        <w:br/>
        <w:t>Detta är dock icke den svåraste uppgift, en fattigvårdsstyrelse har, och jag skall nu, herr talman, be att i förbigående få omnämna den största svårigheten, emedan den står i så nära beröring med</w:t>
        <w:br/>
        <w:br/>
        <w:t>ansökan och ansvarsförbindelse för varje sinnessjuk eller sinnesslö person, men för närvarande finnes det ingen möjlighet att få dem intagna på anstalt. Man blir verkligen beklämd, då man står alldeles vanmäktig inför detta förhållande, som har orsakat så ofantligt mycket lidande och uppoffring. Läget kommer dessutom säkerligen att ytterligare förvärras, därest man icke nu beaktar detsamma och statsmakterna vidtaga åtgärder för åstadkommande av en lindring, ty man kan nog icke förneka, att sinnessjuka och sinnesslöa personer påverka de personer, som skola vårda dem.</w:t>
        <w:br/>
        <w:br/>
        <w:t>Jag vill i detta sammanhang även ge uttryck åt en tanke, som kanske kunde innebära ett botemedel mot svårigheten att få in de sinnessjuka på de nu förefintliga anstalterna. Jag hade nämligen tänkt att inlämna en motion om användande för detta ändamål av de övergivna lägerplatsernas sjukhus, vilka för en jämförelsevis ringa kostnad kunde apteras till sinnessjukanstalter, som kunde åtminstone för närvarande avhjälpa den svåraste bristen på detta område. Jag har endast velat omnämna denna tanke, vilken möjligen kunde vara värd beaktande, då denna fråga på något sätt måste lösas och då ju en del truppförband undan för undan tillträda sina nya förläggningar i städerna.</w:t>
        <w:br/>
        <w:br/>
        <w:t>Vi återgå emellertid till processerna fattigvårdssamhällena emellan. I detta avseende äro landskommunerna betydligt sämre ställda än städerna. Dels ha städerna utan svårighet tillgång till läkare, som kunna lämna de intyg, som numera erfordras, dels ha städerna tillsyningsmän, som noga övervaka var sin del av staden, så att icke någon misstänkt person — d. v. s. en, som misstänkes för att i en snar framtid kunna komma i behov av fattigvård — hinner förvärva hemortsrätt i staden utan se till, att han dessförinnan förhjälpes till understöd, dels, slutligen, ha städerna god tillgång på advokater, som söka på alla möjliga sätt utnyttja lagens möjligheter för ett samhälle att bli fritt från en viss fattigvårdsbörda.</w:t>
        <w:br/>
        <w:br/>
        <w:t xml:space="preserve">Jag vill först som sist säga, att det förefaller mig högst mctbjudande, att Sveriges lag skall bereda möjligheter att på detta sätt processa om saker, som det icke alls borde processas om, nämligen om vården av de fattiga och nödställda. Man kan fråga sig, bur det varit möjligt, att den nuvarande lagen kunnat bliva antagen. Jag kan icke underlåta att anföra ett par exempel på hur lagen bestraffar i stället för att belöna. Det händer ofta — åtminstone ' har det gjort det i min hemtrakt — att det kommer olyckliga </w:t>
      </w:r>
      <w:r>
        <w:rPr>
          <w:b/>
        </w:rPr>
        <w:t>kvinnor¹</w:t>
      </w:r>
      <w:r>
        <w:rPr>
          <w:b w:val="0"/>
        </w:rPr>
        <w:t xml:space="preserve">, som ha blivit utstötta på grund av att de skola föda barn. Ingen vill taga dem i tjänst, och de ha vanligtvis månadstjänst, så att de inte kunna göra anspråk på att få stanna kvar hos sin förre husbonde. Inte heller finns det några barnbördshus på landsbygden, ehuru det råder ett mycket stort behov av' sådana. Dessa </w:t>
      </w:r>
      <w:r>
        <w:rPr>
          <w:b/>
        </w:rPr>
        <w:t>kvinncr¹</w:t>
      </w:r>
      <w:r>
        <w:rPr>
          <w:b w:val="0"/>
        </w:rPr>
        <w:t xml:space="preserve"> ha därför ingen annan utväg än att vända sig till kommunens fattigvård.</w:t>
        <w:br/>
        <w:br/>
        <w:t>Nu är det min åsikt, och lagen fordrar det också, att man skall</w:t>
        <w:br/>
        <w:br/>
        <w:t>på ett humanare sätt hjälpa de fattiga och nödställda. Då är naturligtvis den första tanken, att man måste på något sätt taga hand om dem. Men då uppstår först den svårigheten: Var skall man göra av dem? Lagen säger, att man icke får intaga barn på ålderdomshem, utan att dessa skola förbehållas för de gamla. Det är en svårighet.</w:t>
        <w:br/>
        <w:br/>
        <w:t xml:space="preserve">Emellertid ha vi — och jag förstår, att det är likadant i andra kommuner på landsbygden — måst taga hand om flera dylika kvinror och deras barn. Hur blir då kommunen belönad för att den gör det? Jo, för det första kan icke denna </w:t>
      </w:r>
      <w:r>
        <w:rPr>
          <w:b/>
        </w:rPr>
        <w:t>kvinna¹</w:t>
      </w:r>
      <w:r>
        <w:rPr>
          <w:b w:val="0"/>
        </w:rPr>
        <w:t xml:space="preserve"> vinna hemortsrätt 1 någon annan kommun i landet på grund av att den första kommunen varit nog barmhärtig att taga hand om det barn, </w:t>
      </w:r>
      <w:r>
        <w:rPr>
          <w:b/>
        </w:rPr>
        <w:t>hon²</w:t>
      </w:r>
      <w:r>
        <w:rPr>
          <w:b w:val="0"/>
        </w:rPr>
        <w:t xml:space="preserve"> fött. När lagen således först säger, att man skall vara human, men samtidigt på detta sätt faktiskt indirekt bestraffar en sådan humanitet hos kommunerna, är det ju alldeles klart, att dessa i det allra längsta avhålla sig från att giva en sådan </w:t>
      </w:r>
      <w:r>
        <w:rPr>
          <w:b/>
        </w:rPr>
        <w:t>kvinna¹</w:t>
      </w:r>
      <w:r>
        <w:rPr>
          <w:b w:val="0"/>
        </w:rPr>
        <w:t xml:space="preserve"> någon hjälp. Den blir ju, som jag nyss antydde, i så fall bestraffad för sitt förfarande.</w:t>
        <w:br/>
        <w:br/>
        <w:t xml:space="preserve">För att gå vidare, kunna vi nu tänka oss, att denna </w:t>
      </w:r>
      <w:r>
        <w:rPr>
          <w:b/>
        </w:rPr>
        <w:t>kvinna¹</w:t>
      </w:r>
      <w:r>
        <w:rPr>
          <w:b w:val="0"/>
        </w:rPr>
        <w:t xml:space="preserve"> flyttar till andra kommuner, får flera barn och slutligen kanske hamnar 1 en storstad eller en mindre stad under tvetydiga omständigheter, som man kan benämna med många namn, men som jag för min del endast har ett namn för: En förfallen </w:t>
      </w:r>
      <w:r>
        <w:rPr>
          <w:b/>
        </w:rPr>
        <w:t>kvinna¹</w:t>
      </w:r>
      <w:r>
        <w:rPr>
          <w:b w:val="0"/>
        </w:rPr>
        <w:t>. Det känns så mycket svårare att bevisa barmhärtighet då. Jag har i ett sådant fall en berättigad harm först emot personen ifråga, men den går längre. Dess trådar leda mig hit till denna kammare, i vilken Jag själv hamnat, och är medansvarig för de beslut som här fattas, dock i mycket ringa grad (jag har aldrig känt mig så obetydlig som sedan jag kom hit). Riksdagen har dock antagit den lag, som medför dessa möjligheter.</w:t>
        <w:br/>
        <w:br/>
        <w:t xml:space="preserve">Den orsak till dessa missförhållanden, som man först tänker på, är hemortsrätten. Jag har redan berört, att i detta fall hemortsrätten för </w:t>
      </w:r>
      <w:r>
        <w:rPr>
          <w:b/>
        </w:rPr>
        <w:t>kvinnan¹</w:t>
      </w:r>
      <w:r>
        <w:rPr>
          <w:b w:val="0"/>
        </w:rPr>
        <w:t xml:space="preserve"> är bunden. I motionen avse vi nu ett annat fall, där hemortsrätten enligt 1918 års lag är bestämd till platsen för den faktiska mantalsskrivningsorten. Vi avse icke med denna motion, att mantalsskrivningsorten skall upphöra att vara det grundläggande, men vi avse ett tillägg till reglerna därom, som gör dessa mera överensstämmande med den moraliska rättvisan. Ty det kan väl icke bestridas, att den nya lagen ger möjlighet för en person att vinna hemortsrätt på en plats genom endast en månads vistelse där.</w:t>
        <w:br/>
        <w:br/>
        <w:t xml:space="preserve">Jag skulle kunna relatera många exempel på detta, men jag skall endast anföra ett, som är mycket typiskt. Det var nämligen så, att en </w:t>
      </w:r>
      <w:r>
        <w:rPr>
          <w:b/>
        </w:rPr>
        <w:t>kvinna¹</w:t>
      </w:r>
      <w:r>
        <w:rPr>
          <w:b w:val="0"/>
        </w:rPr>
        <w:t xml:space="preserve"> kom till min hemsocken i december månad och sålunda blev mantalsskriven där, då ju mantalsskrivningen sker vid årets slut för hela nästpåföljande år. I januari påföljande år flyttade </w:t>
      </w:r>
      <w:r>
        <w:rPr>
          <w:b/>
        </w:rPr>
        <w:t>hon²</w:t>
      </w:r>
      <w:r>
        <w:rPr>
          <w:b w:val="0"/>
        </w:rPr>
        <w:t xml:space="preserve"> hit till huvudstaden. För att lättare kunna klargöra saken kan jag nämna årtalet också: det var under 1918. Är 1919 var </w:t>
      </w:r>
      <w:r>
        <w:rPr>
          <w:b/>
        </w:rPr>
        <w:t>hon²</w:t>
      </w:r>
      <w:r>
        <w:rPr>
          <w:b w:val="0"/>
        </w:rPr>
        <w:t xml:space="preserve"> således mantalsskriven i min hemkommun. 1920 i januari månad kom denna </w:t>
      </w:r>
      <w:r>
        <w:rPr>
          <w:b/>
        </w:rPr>
        <w:t>kvinna¹</w:t>
      </w:r>
      <w:r>
        <w:rPr>
          <w:b w:val="0"/>
        </w:rPr>
        <w:t xml:space="preserve"> i behov av vård och blev intagen på barn-</w:t>
        <w:br/>
        <w:br/>
        <w:t>"ligt förhållande i detta fall. Det lämnades nämligen av läkaren intyg,</w:t>
        <w:br/>
        <w:br/>
        <w:t xml:space="preserve">att </w:t>
      </w:r>
      <w:r>
        <w:rPr>
          <w:b/>
        </w:rPr>
        <w:t>hon²</w:t>
      </w:r>
      <w:r>
        <w:rPr>
          <w:b w:val="0"/>
        </w:rPr>
        <w:t xml:space="preserve"> blivit behandlad för missfall i januari månad, och i februari månad fingo vi en ny inlaga, i vilken samme läkare på heder och samvete intygade, att </w:t>
      </w:r>
      <w:r>
        <w:rPr>
          <w:b/>
        </w:rPr>
        <w:t>hon²</w:t>
      </w:r>
      <w:r>
        <w:rPr>
          <w:b w:val="0"/>
        </w:rPr>
        <w:t xml:space="preserve"> vårdats på barnbördshuset för barnsbörd. Hur vilja herrarna tyda den saken? Med stor skärpa inlade jag till Konungens befallningshavande en gensaga mot ett sådant intyg, och Konungens befallningshavande lät då infordra nytt läkarintyg. Ja, nu sedan jag kom hit, har jag visserligen fått ett, men avfattat i mycket svävande ordalag. Det går emellertid ut på något helt annat, och det skulle ha ställt hela saken i ett annat läge, om läkaren velat avge det intyget första gången. I detta sista intyg säger han, att barnet dog efter femton minuter. Under sådana förhållanden förstår man, att processen icke skulle behövt taga den omfattning, som den nu gjort. Jag har velat påpeka, att man kan ställas inför mycket märkvärdiga situationer även gent emot läkarna. Jag har haft ett orubbligt förtroende för dessa, men sedan jag fått hand om fattigvårdsprocesser, har min tro mången gång börjat vackla, ty jag har erhållit många egendomliga läkarintyg.</w:t>
        <w:br/>
        <w:br/>
        <w:t>Det är också några andra svaga punkter i den nya lagen. Man har t. ex. förbjudit att med våld taga någon in på ett ålderdomshem. Ja, det låter vackert och bra. Men jag vill säga, att jag har överträtt lagen i rätt många fall i det avseendet. Ty det har varit situationer, där det icke funnits någon möjlighet att bistå de gamla och svaga i de byggnader, där de bott, och ingen människa har stått att uppbringa, som kunnat sköta dem, varför jag helt enkelt överträtt lagen. Och dagen efter sedan de kommit till ålderdomshemmet, ha de nedkallat Guds välsignelse över mig, för att jag verkligen tog dem från deras bostad. Så att i detta avseende menar Jag, att det inte borde vara så strängt, som nu är fallet.</w:t>
        <w:br/>
        <w:br/>
        <w:t xml:space="preserve">En annan puukt, som jag anser svag, är att minderårighetsåldern höjts i den nya lagen till sexton år. Jag vet, att man trodde sig ha gjort något synnerligen betydelsefullt. Jag anser dock, att den, som inte gör skäl för mat och kläder, då han är femton år, gör det inte heller, då han är sexton år. Jag menar, att det kan kännas märkvärdigt många gånger, att man, såsom 1 många fall hänt i vår församling, får lämna understöd till fullgoda drängar, ty vid sexton års ålder äro de många gånger storväxta och kraftiga ynglingar. Men de ha från början fått detta understöd, och de bo t. ex. hos sin </w:t>
      </w:r>
      <w:r>
        <w:rPr>
          <w:b/>
        </w:rPr>
        <w:t>mor²</w:t>
      </w:r>
      <w:r>
        <w:rPr>
          <w:b w:val="0"/>
        </w:rPr>
        <w:t xml:space="preserve">, och </w:t>
      </w:r>
      <w:r>
        <w:rPr>
          <w:b/>
        </w:rPr>
        <w:t>hon²</w:t>
      </w:r>
      <w:r>
        <w:rPr>
          <w:b w:val="0"/>
        </w:rPr>
        <w:t xml:space="preserve"> behöver i så fall ofta understöd bättre än dessa ynglingar. Denna ändring av lagen har Jag alltså icke kunnat finna lämplig.</w:t>
        <w:br/>
        <w:br/>
        <w:t>Aven den tioåriga preskriptionstiden anser Jag vara en nackdel i den nya lagen gent emot den gamla, ty åtminstone jag blir översvämmad med nya ansökningar om bidrag för personer, som je på sjukhus för 7 å 8 år sedan, synnerligast härifrån Stock-</w:t>
        <w:br/>
        <w:br/>
        <w:t>Jag kommer så till den historik, som utskottet meddelat. Det</w:t>
        <w:br/>
        <w:br/>
        <w:t>allra mesta därav återfinnes ju för övrigt i vår motion. Men det märkvärdiga är, att i utskottets historik har man varit mycket, mycket försiktig att nämna, vad kammarrätten har sagt i förevarande fråga och likaså vad utskottet sade 1918. Kammarrätten. som ju är högsta instans i dessa mål, sitter inne med den största auktoriteten på området, och jag kan icke förstå, varför icke fattigvårdslagstiftningskommittén tog någon hänsyn till vad kammarrätten sade. Visserligen sade utskottet 1918, att det var endast en person, som hade en annan åsikt än den fattigvårdslagstiftningskommittén hade. Men den personen tillmäter jag så stor auktoritet på detta område, då han nämligen haft att handlägga just dessa tråkiga mål, att han i det fallet uppvägde många, antar jag, av utskottets ledamöter.</w:t>
        <w:br/>
        <w:br/>
        <w:t xml:space="preserve">I utskottets motivering är det först hemortsrättsfrågan som behandlas. Utskottet säger, att 1918 års riksdag frångått den ståndpunkt, som 1905 års riksdag intog. Jag är icke övertygad, att 1918 års riksdag var överbevisad om att 1905 års riksdag hade intagit en oriktig ståndpunkt. Utan fallet var nog det, att 1918 års riksdag ansåg, att man nu hade väntat i åtta år på att få något av denna nya fattigvårdslagstiftning och att alltid fanns det väl något förmånligt i förslaget samt att man därför utan vidare gick med på att antaga detsamma för att få någonting alls. Ty icke kan jag tänka mig, att riksdagens ledamöter med vett och vilja gått med på detta, om de vetat, till vilka konsekvenser denna lag kunde leda därutinnan, att barnet, på sätt nu sker, binder </w:t>
      </w:r>
      <w:r>
        <w:rPr>
          <w:b/>
        </w:rPr>
        <w:t>moderns²</w:t>
      </w:r>
      <w:r>
        <w:rPr>
          <w:b w:val="0"/>
        </w:rPr>
        <w:t xml:space="preserve"> hemortsrätt. samt att en person kan vinna hemortsrätt efter endast en månads vistelse i kommunen, utan att man vare sig förr eller senare hört av eller sett till honom där, så att det enda kommunen får med honom att göra är att betala understöd till hans barn. Vanligtvis är det Ju </w:t>
      </w:r>
      <w:r>
        <w:rPr>
          <w:b/>
        </w:rPr>
        <w:t>kvinnor¹</w:t>
      </w:r>
      <w:r>
        <w:rPr>
          <w:b w:val="0"/>
        </w:rPr>
        <w:t xml:space="preserve"> och deras barn det är fråga om i dessa fall, samt vid sjukdomsfall änkor, som man får hjälpa. Jag kan inte tro, att 1918 års riksdag var medveten härom.</w:t>
        <w:br/>
        <w:br/>
        <w:t>Utskottet säger vidare, att systemet skulle försvåra förvärvandet av hemortsrätt, och att det skulle uppkomma många olägenheter, om man t. ex., såsom vi åsyftat, fastsloge, att hemortsrätten skulle grundas som hittills på den faktiska mantalsskrivningen men dock med den förutsättningen, att personen i fråga skulle ha varit bosatt i mantalsskrivningskommunen ett år för att kunna vinna hemortsrätt där. Ty det är särskilt det önskemålet vi haft beträffande hemortsrätten. Samtidigt ha vi dock icke förbisett, att det då skulle bli litet svårare eller taga litet längre tid att vinna hemortsrätt. Ty det är just dessa ytterlighetsfall inom den mycket rörliga befolkningen, som man huvudsakligen har att göra med. Men då ha vi undrat, om det icke vore lämpligt, att staten trädde emellan och lämmade ersättning till en kommun, som nödgats utlämna understöd... Om staten betalade ersättning till en kommun, som har lämnat understöd till en person, som icke på de två närmaste åren har förvärvat eller kunnat förvärva hemortsrätt, och staten sålunda bleve en regulator för hela vårt lands fattigvårdskostnader, särskilt</w:t>
        <w:br/>
        <w:br/>
        <w:t xml:space="preserve">i den öppna fattigvården, så tänker jag, att ett ofantligt stort antal processer skulle bli obehövliga. För avlägsnande av den andra olägenheten, som jag nyss nämnde, nämligen att barnet binder </w:t>
      </w:r>
      <w:r>
        <w:rPr>
          <w:b/>
        </w:rPr>
        <w:t>moderns²</w:t>
      </w:r>
      <w:r>
        <w:rPr>
          <w:b w:val="0"/>
        </w:rPr>
        <w:t xml:space="preserve"> hemortsrätt, ha vi velat få införd en bestämmelse, att barnet icke binder modern vid den kommun, där </w:t>
      </w:r>
      <w:r>
        <w:rPr>
          <w:b/>
        </w:rPr>
        <w:t>hon²</w:t>
      </w:r>
      <w:r>
        <w:rPr>
          <w:b w:val="0"/>
        </w:rPr>
        <w:t xml:space="preserve"> fött barnet, utan att senare födda barn kunna få hemortsrätt i de andra kommwuner, där de blivit födda.</w:t>
        <w:br/>
        <w:br/>
        <w:t>Utskottet säger också, att det ena fattigvårdssamhället har lika stor möjlighet som det andra att bli av med personer, som möjligen behöva fattiovårdsunderstöd. Ja, men det är väl ändå att spela på lotteri, och det är väl inte denna kammare villig att gå med på, det hörde vi ju härom dagen. Den ena kommunen kan bli mera belastad och den andra mindre, det beror alldeles på hurudan tur man har. . Utskottet framhåller även, att de nuvarande enkla, på den faktiska mantalsskrivningen grundade bestämmelserna böra bibehållas. Ja, icke vill jag ha några invecklade bestämmelser, ty sådana ha vi tillräckligt många i våra lagar ändå. Det är sålunda ett mycket klokt ord detta. Men vi böra enligt min mening ha denna fattiovårdslag just så avfattad, att i största möjliga utsträckning den juridiska och den moraliska rätten sammanfalla. Utskottet erkänner, att denna fråga är invecklad och svår. Ja, den är i högsta grad invecklad och svår för alla landets fattigvårdsstyrelser. Skulle man då icke kunna tänka sig, att dessa invecklade och svåra förhållanden med litet god vilja skulle kunna avlägsnas och lagen så avfattas — vilket väl icke borde vara någon omöjlighet -— att den juridiska och den moraliska rätten sammanfölle, samtidigt som det noga tillsåges, att icke någon punkt i lagen skulle få förekomma, som kunde giva anledning till processer, utan att allting vore så väl avvägt och gränslinjerna så tydligt uppdragna, att det icke kunde bli någon svårighet att tyda vad meningen vore. Då äntligen skulle man komma ifrån de rådande missförhållandena.</w:t>
        <w:br/>
        <w:br/>
        <w:t>Jag vill icke upptaga kammarens tid i onödan och ber därför endast att ytterligare få poängtera, att vi icke kunnat begära mindre i denna motion, än vi gjort. Det är endast fråga om en skrivelse till Kungl. Maj:t med begäran om åtgärders vidtagande. Jag har varit mycket angelägen att hinna föra frågan på tal just på grund av att fattiovårdslagstiftningskommittén fortfarande sitter kvar och att man » därför mycket lätt skulle kunna hänvisa ärendet till den, såvida man bara vill verkligen göra något åt saken. Det är just de rådande svårigheterna på området som vi i vår motion påpekat. Såsom av utskottets utlåtande framgår, vill emellertid utskottet icke vara med om att göra något. Man säger: vi ha så nyss haft denna fråga på tal, och vi kunna icke nu göra lagen annorlunda. Men det är endast de obotfärdigas förhinder. Ty man kan, om man vill.</w:t>
        <w:br/>
        <w:br/>
        <w:t>Om man nu verkligen kunde vinna beaktande för dessa synpunkter och minska dessa processer fattigvårdssamhällena emellan, är det då någon, som skulle förlora därpå? Den enda part som förlorar därpå är advokaterna, men det finns ju så många andra områden,</w:t>
        <w:br/>
        <w:br/>
        <w:t>som de kunna slå sig på. De kunna t. ex. upprätta deklarationsbyråer. Av dessa skulle de säkert få god inkomst, vad jag kan förstå. Vad man däremot vinner på detta är först en betydlig lättnad för fattigvårdsstyrelserna i handhavandet av sin uppgift. Vidare får man i ämbetsverken en icke obetydlig vinst. Man har, hörde jag i remissdebatten, varit bekymrad för att dessa i betänklig grad utökats. Men att så skett är nog inte så underligt, om man tänker på det arbete, som där hopas. Endast för min kommuns vidkommande har, sedan jag kommit hit, måst besvaras 12 handlingar i fattigvårdsärenden, vilka skola gå vidare till Konungens befallningshavande och slutligen, ifall de överklagas, till kammarrätten. Å ena sidan klagar man över detta utökande, men å andra sidan stiftar man lagar, varigenom åstadkommes en ytterligare utökning, emedan de beslut man fattar äro oklara och många gånger icke stå i överensstämmelse med den moraliska rätten.</w:t>
        <w:br/>
        <w:br/>
        <w:t>Jag glömde nämna ett sätt, varpå man möjligen skulle kunna hämma dessa processer, att man nämligen ordnade det så, att dessa icke bleve avgiftsfria, såsom de nu äro. Hela processen kan någon gång röra sig om några kronor. Om icke denna avgiftsfrihet vore, kanske de många okynnesprocesserna kunde undslippas. Jag tycker alltså, att det vore synnerligen lämpligt, att det bleve en viss kostnad förenad med sådana processer.</w:t>
        <w:br/>
        <w:br/>
        <w:t xml:space="preserve">Jag förstår, att jag kommer att få mycket mothugg på vad Jag nu yttrat. Jag torde emellertid redan nu kunna bemöta en av mig väntad invändning. Någon kommer, förmodar jag, att säga, att det beträffande </w:t>
      </w:r>
      <w:r>
        <w:rPr>
          <w:b/>
        </w:rPr>
        <w:t>kvinnorna¹</w:t>
      </w:r>
      <w:r>
        <w:rPr>
          <w:b w:val="0"/>
        </w:rPr>
        <w:t xml:space="preserve"> och barnen är väl beställt genom de nya barnavårdslagarna. Gent emot detta vill jag svara, att det i våra häradsrätter, till vilka dessa mål hänvisas, synnerligen ofta händer, att en barnafader icke kan bli dömd. Ibland kunna barnavårdsmännen icke ens få en person stämd, ty det händer, att den </w:t>
      </w:r>
      <w:r>
        <w:rPr>
          <w:b/>
        </w:rPr>
        <w:t>kvinna¹</w:t>
      </w:r>
      <w:r>
        <w:rPr>
          <w:b w:val="0"/>
        </w:rPr>
        <w:t xml:space="preserve"> det gäller ej har reda på namnet på den som är barnets fader. Då finns det ingen annan institution än fattigvårdsstyrelsen som tager hand om barnet. Jag erkänner gärna och villigt, att genom barnawvårdslagarna fattiovårdsstyrelsernas uppgift har blivit betydligt lättare att fylla, men ett mycket stort antal fall hamnar dock slutligen hos fattigvårdsstyrelserna.</w:t>
        <w:br/>
        <w:br/>
        <w:t>Ehurt jag skulle kunna hålla på med det ena exemplet efter det andra, skall jag icke längre trötta herrarna, som väl icke längre vilja höra på mig. Jag skall emellertid, herr talman, be att få yrka avslag på utskottets hemställan och bifall till motionen.</w:t>
      </w:r>
    </w:p>
    <w:p>
      <w:pPr>
        <w:pStyle w:val="Heading2"/>
      </w:pPr>
      <w:r>
        <w:t>2. Anders Paulsen (Socialdemokraterna, man)</w:t>
      </w:r>
    </w:p>
    <w:p>
      <w:r>
        <w:rPr>
          <w:b w:val="0"/>
        </w:rPr>
        <w:t>Herr talman! Jag skall icke med många ord förlänga denna debatt. Jag skall endast göra ett par påpekanden för att rädda min själ, som herr Magnusson i Skövde sade för ett par dagar sedan.</w:t>
        <w:br/>
        <w:br/>
        <w:t>Jag vill då först påpeka och understryka, att bestämmelserna om hemortsrätt äro mycket svävande och ovissa, varför det vore</w:t>
        <w:br/>
        <w:br/>
        <w:t>mycket lyckligt, om man kunde finna ett lämpligt sätt att få dem tydligare. När 1918 års fattigvårdslag skrevs, sades det ifrån 1 motiveringen bland annat, att lagen tillkom för att fattigvårdsprocesserna skulle minskas. Ha herrarna någonsin hört talas om, att fattigvårdsprocesserna minskats, sedan den nya lagen tillkom? J ag har under en hel del år sysslat med dessa ting, både under den gamla lagen och under den nya. Jag försäkrar, att det finns icke ringaste skäl att säga, att dessa processer minskats efter tillkomsten av 1918 års lag.</w:t>
        <w:br/>
        <w:br/>
        <w:t>Ett sätt, varigenom man, enligt vad jag kan se, kunde minska fattigvårdsprocesserna vore, att för alla sådana människor med oklar hemortsrätt, vilka man har givit understöd, man genom en enkel hänvändelse till landstinget kunde få medlen återbetalda. Därigenom försvunne alla dessa processer av sig själva, och man vore ifrån saken och ifrån hela denna tillkrånglade historia om hemortsrätten. Så enkel är den saken.</w:t>
        <w:br/>
        <w:br/>
        <w:t>Jag skall icke säga något ont om utskottet. Det är klart, att det är mycket kloka och förståndiga män i utskottet, jag ville buga mig för dem, om jag nu hade dem alla inför mig. Men jag tycker ändå, att man från utskottets sida gör ganska många och svåra invändningar, så snart någon vill ha fram en fråga. Det är klart, att när en lag skrives, man inte kan ha så precis på känn alla saker, som beröras av lagen, utan det kan vara många ting, som man kan ha satt in i lagen, vilka, när de utföras i det praktiska livet, icke gå utan haka upp sig på den ena eller den andra punkten. Det vore då riktigt, tycker jag, att när människor, som syssla med sådana ting i det praktiska livet, komma upp och be om ändring, ett utskott verkligen går i författning om att tillse, om det icke är klokt med en ändring. Det kan hända, att ändringar väl behövas.</w:t>
        <w:br/>
        <w:br/>
        <w:t>Jag har, herr talman, endast velat säga dessa ord i denna sak.</w:t>
      </w:r>
    </w:p>
    <w:p>
      <w:pPr>
        <w:pStyle w:val="Heading2"/>
      </w:pPr>
      <w:r>
        <w:t>3. Oskar Hagman (Socialdemokraterna, man)</w:t>
      </w:r>
    </w:p>
    <w:p>
      <w:r>
        <w:rPr>
          <w:b w:val="0"/>
        </w:rPr>
        <w:t>Herr talman, mina herrar! Den fråga, som nu föreligger till kammarens behandling med anledning av motion av herr Jonsson i Risinge och herr Westman i Brobygård, rör ett problem, som är ett av fattigvårdslagstiftningens allra svåraste. Jag har vid studiet av frågan om hemortsrätten kommit till den uppfattningen, att om man beträffande detta spörsmål vill söka en lösning efter idealiska mått, på det sättet att alla parter skola bli tillfredsställda, så måste man beteckna frågan såsom fullkomligt olöslig. Jag styrkes vidare i denna uppfattning därigenom att under de snart 150 år som gått, sedan år 1778 det först utfärdades bestämmelser om hemortsrätt, strid har pågått i vårt land om hur dessa bestämmelser skola läggas. Många olika synpunkter hava framförts, baserade på de olika intressen, som i detta ämne göra sig gällande. Även i främmande länder har alldeles samma problem stått under debatt. Allt detta visar, att man verkligen icke kan genom att bara väcka en motion, som kräver vissa ändringar, få till stånd den fördelaktiga lösning, som man önskar.</w:t>
        <w:br/>
        <w:br/>
        <w:t>Jag har gått tillbaka till fattigvårdslagstiftningskommitténs</w:t>
        <w:br/>
        <w:br/>
        <w:t>betänkande för att se efter, vad där säges om denna sak. Där har ju frågan om hemortsrätten varit föremål för ingående behandling. Däri framhålles, att sedan fattigvården blivit en kommunal angelägenhet och sedan det föreskrivits, att det är de kommunala enheterna, som skola taga hand om fattiga och hjälplösa, strid uppstått om hur hemortsrättsbestämmelserna skulle formuleras. Det är ju nämligen så och har varit det all tid, att man från kommunernas sida strävar efter att bli fri från alla element, som kunna i någon mån anses innebära risker i form av understödsbehov samtidigt som man söker förhindra att kommunen tillföres nya sådana element. I det brev som utsändes av Kungl. Maj:t till landshövdingarna den 15 juni 1773, fastslogs, att varje kommun skulle taga hand om de fattiga, som den hade, vilket ju ledde till att nya motioner väcktes i riksdagen. Genom en ny kungl. kungörelse, av den 15 december 1778, tillerkändes kommunerna rätt att på sockenstämma besluta om, vilka som fingo inflytta i kommunen eller icke. Man införde således ett faktiskt passtvång mellan kommunerna i vårt land, och detta ledde därhän, att kommunerna beslöto, att den och den familjen ej fick inflytta, den och den fick inflytta etc. I praktiken kom det att utveckla sig på det sättet, att en hel del familjer inflyttade på vad man kallade olagligt sätt, d. v. s. utan tillstånd från vederbörande kommunala myndighet, och det finns fall och exempel som visa, att man kunde inflytta på detta olagliga sätt, stanna kvar i kommunen under hela sin krafts dagar och där utföra arbete, men att, när man en gång blev sjuk och orkeslös och det allmänna i en eller annan form måste träda till, man skickades till den kommun, varifrån man ursprungligen kommit, på grund av att man på ett olagligt sätt inflyttat till den kommun, där man nedlagt sin bästa arbetskraft.</w:t>
        <w:br/>
        <w:br/>
        <w:t>Om man ser på behandlingen av frågan om hemortsrätten ur fattigvårdssynpunkt här i riksdagen, finner man att den varit uppe med korta tidsintervaller under det sista århundradet. Det har tillsatts kommittéer 1810, 1835 och 1870. Tillsättandet av dessa kommittéer har motiverats uteslutande av bestämmelserna om hemortsrätten. Dessa ansågos böra ändras på ett ur kommunernas synpunkt och intressen mera tillfredsställande sätt. Genom förordningen av den 25 maj 1847 upphävdes kommunernas rätt att på sockenstämma besluta om att vägra inflyttning. Detta upphävande föranledde att här i riksdagen gång på gång efter år 1847 väcktes motioner, vari påyrkades, att rätten för sockenstämma att besluta om, vilka som skulle ha rätt att inflytta eller icke, skulle återinföras.</w:t>
        <w:br/>
        <w:br/>
        <w:t>Under tiden 1871—1918 gällde den bestämmelsen, att vederbörande hade hemortsrätt i den kommun där han antingen var eller bort vara mantalsskriven. Från denna generella bestämmelse gavs det emellertid undantag, nämligen att om fattigvården behövde anlitas, innan ett år förflutit efter mantalsskrivningen, hemortsrätten skulle anses vara kvar i den kommun, varifrån vederbörande kommit. I denna bestämmelse gjordes sedermera en ändring 1894, då tiden ett år efter mantalsskrivningen ändrades till ett kalenderår.</w:t>
        <w:br/>
        <w:br/>
        <w:t>Dessa bestämmelser gällde sedan ända till 1918, då vi fingo den nya och, som vi väl alla trodde, moderna lagstiftning på området, som fortfarande gäller.</w:t>
        <w:br/>
        <w:br/>
        <w:t>När man tager i betraktande vilka principer, man under alla dessa år av strider på detta område har följt vid försöken att åstadkomma en riktig hemortsrättsbestämmelse, finner man, att det är i huvudsak tvenne linjer, på vilka intressena röra sig. Somliga vilja göra gällande, att den faktiska mantalsskrivningsorten skall vara det, som konstituerar hemortsrätten, under det att riksdagen 1905 i sin skrivelse till Kungl. Maj:t framhöll, ehuruväl i vaga former, att man i stället borde tillämpa den s. k. samhörighetsprincipen. Det är nu denna samhörighetsprincip, som ej kom till något uttryck i den fattigvårdslagstiftning vi nu ha, i varje fall icke i den om fattning som motionärerna här önska, och vilken motionärerna här yrka på ett bättre tillgodoseende av.</w:t>
        <w:br/>
        <w:br/>
        <w:t>Kommittén säger emellertid i sina motiv, att den varit inne på denna linje att utforma bestämmelser, där hemortsrätten skulle grundas på samhörighetsprincipen. Man har genomdiskuterat detta sSpörsmål så pass ingående, att man gjort upp ett utkast till en lagstiftning, som byggde just på samhörighetsprincipen beträffande hemortsrättsspörsmålet. Men det visade sig bli så invecklat, att kommittén övergav denna linje och övergick till det förslag, som riksdagen sedermera godkände och som i sig innebär, som här förut har betonats, att det är den faktiska mantalsskrivningsorten, som giver hemortsrätten. Man måste nämligen, om man skall fastslå samhörighetsprincipen som det grundläggande, räkna upp en hel massa formella omständigheter, som kunna konstituera sambandet med kommunen, och det visade sig vara så svårt, att kommittén förutsätter; att det mindre antal processer och tvister, som var ett av de i riksdagens skrivelse 1905 uttalade önskemålen, skulle i varje fall icke uppnås, om man gick på denna linje om samhörighet.</w:t>
        <w:br/>
        <w:br/>
        <w:t xml:space="preserve">De bestämmelser, som förefinnas i nu gällande fattigvårdslagstiftning om hemortsrätt, ha den fördelen, att de äro enkla och klara. Det är alldeles uppenbart, att de medföra tvistigheter, framför allt ur olika intressesynpunkter. Problemet är oerhört svårt och kan enligt min uppfattning icke lösas på tillfredsställande sätt, så länge kommunerna, antingen en kommun eller flere kommuner i form av ett fattigvårdssamhälle, äro bärare av fattigvårdsskyldigheten. Men skall en mera tillfredsställande ordning komma till stånd på detta område, så får man nog gå de vägar, som även utskottet i sitt utlåtande angiver, nämligen att pensionsförsäkringen kommer att utvecklas dithän, att speciellt de äldre få sitt uppehälle och försörjning genom sin statspension, oberoende av var de ha sin faktiska hemortsrätt. Det skulle då närmast återstå de, som motionären särskilt i dag talat om, nämligen </w:t>
      </w:r>
      <w:r>
        <w:rPr>
          <w:b/>
        </w:rPr>
        <w:t>kvinnor¹</w:t>
      </w:r>
      <w:r>
        <w:rPr>
          <w:b w:val="0"/>
        </w:rPr>
        <w:t xml:space="preserve"> med barn etc., som skulle kunna föranleda dessa tvistigheter och svårigheter vid fastslåendet av var den faktiska hemortsrätten är belägen. Men då får man nog, om man helt och hållet skall kunna upphäva svårigheterna, tänka på att staten får i större utsträckning än nu är fallet träda in för att hjälpa</w:t>
        <w:br/>
        <w:br/>
        <w:t>kommunerna på detta område. Och jag tror, man kan väl säga — Ang. förvärv utan att ha någon så stor praktisk erfarenhet om dessa förhållanden, fölkgedrder vilket ju motionären här i dag upplyste, att han hade — att man har hänseende. åtminstone kommit fram till mera klara och enkla bestämmelser än = (Forts.) tidigare. Att spörsmålet är oerhört svårt visar sig av att man har i snart ett par århundraden slagits just om, huru dessa bestämmelser skulle vara utformade. Det har ju varit rent av skandalösa förhållanden på detta område tidigare, när kommunerna försökte att med alla till buds stående medel skjuta ifrån sig de fattiga och hjälplösa, som sökte skydd och hjälp. Det hade naturligtvis varit bättre, om denna strävan och ävlan från kommunernas sida gått ut på att hjälpa i stället för att komma ifrån denna hjälpskyldighet. Det är just denna strävan att komma ifrån skyldigheten att hjälpa, som medfört alla dessa invecklade och mångåriga processer. På grund av vad jag nu i korthet anfört, särskilt med hänsyn till problemets behandling under tidigare år, då det icke varit möjligt att finna tillfredsställande former, tror jag, att man kan säga, att det nu ej heller är möjligt att finna nya dylika, och,i varje fall torde lösningen ej bli bättre med de linjer och önskemål, motionären här i dag uttalat. Jag tillåter mig därför, herr talman, att med dessa ord hemställa om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1492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