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1503</w:t>
      </w:r>
    </w:p>
    <w:p>
      <w:r>
        <w:rPr>
          <w:b/>
        </w:rPr>
        <w:t xml:space="preserve">Datum: </w:t>
      </w:r>
      <w:r>
        <w:t>1921-04-12</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John Falk (Lantmanna- och borgarepartiet inom andrakammaren, man)</w:t>
      </w:r>
    </w:p>
    <w:p>
      <w:r>
        <w:rPr>
          <w:b w:val="0"/>
        </w:rPr>
        <w:t>»Är någon enligt rättens eller domarens beslut eller skriftligt, av två personer bevittnat avtal pliktig att till fullgörande av lagstadgad underhållsskyldighet till barn, adoptivbarn, föräldrar, adoptivföräldrar, eller den, med vilken han är eller varit gift, eller utom äktenskap avlat barn, och underlåter han att betala förfallet belopp, eller, på grund av tredska, lättja eller liknöjdhet. underlåter att skaffa sig sådan inkomst, att utmätning kan göras i hans tillgångar eller införsel i hans avlöning, må den felande, efter anmälan av den underhållsberättigade, av Konungens befallningshavande kunna ådömas tvångsarbete. Där tvångsarbete ålägges, skall tiden därför bestämmas till minst en och högst sex månader»;</w:t>
        <w:br/>
        <w:br/>
        <w:t xml:space="preserve">barns och deras </w:t>
      </w:r>
      <w:r>
        <w:rPr>
          <w:b/>
        </w:rPr>
        <w:t>mödrars²</w:t>
      </w:r>
      <w:r>
        <w:rPr>
          <w:b w:val="0"/>
        </w:rPr>
        <w:t xml:space="preserve"> rätt skulle kunna mera effektivt tillvaratagas genom bestämmelser,</w:t>
      </w:r>
    </w:p>
    <w:p>
      <w:pPr>
        <w:pStyle w:val="Heading2"/>
      </w:pPr>
      <w:r>
        <w:t>2. Anders Paulsen (Socialdemokraterna, man)</w:t>
      </w:r>
    </w:p>
    <w:p>
      <w:r>
        <w:rPr>
          <w:b w:val="0"/>
        </w:rPr>
        <w:t>Herr talman! Jag hade hoppats, att utskottet skulle vara av samma mening som jag i denna sak och att jag således skulle slippa säga något i detta ärende. Då så ej är fallet, skall jag be att få säga några ord, icke för att jag tror, att jag skall kunna förmå kammaren att gå med på min uppfattning, men därför att jag med ett par ord vill motivera min ställning till denna fråga.</w:t>
        <w:br/>
        <w:br/>
        <w:t>Då 1917 års barnalagar skrevos, trodde man naturligtvis, att man gjort tillräckligt för att kunna nå dit man syftade med dessa lagar. För dem, som haft att i praktiken syssla med desamma,</w:t>
        <w:br/>
        <w:br/>
        <w:t xml:space="preserve">visade det sig emellertid ganska snart, att de icke räckte till. Så 4ng. tillvaralänge man har att göra med människor, som vilja fullgöra sina Togande av skyldigheter, går det bra, men så snart man kommer till sådana, skapet födda som icke vilja betala, hakar det upp sig. barns och Nu säger utskottet här om denna sak, att enligt utskottets förderas smödrars menande går mitt yrkande ut över vad som i ifrågavarande hän- "47: seende kan anses skäligt. Ja, det beror på vad man anser vara (Forts. skäligt. Anser man det vara skäligt, att ena parten skall betala hela underhållskostnaden för barnet, då är det bra som det är, men menar man, att bägge föräldrarna skola hjälpas åt att försörja sitt barn, synas mig nuvarande bestämmelser icke vara tillräckliga. Vidare säger utskottet: »Att i så vidsträckt omfattning som här föreslagits stadga tvångsarbete såsom påföljd av underlåtenhet att betala försörjningsbidrag skulle stå i strid med den allmänna rättsuppfattningen och synes därför ej böra ifrågakomma.» Det är en smula märkvärdigt, att första lagutskottet tycker, att det står i strid med den allmänna rättsuppfattningen att i sådana fall ådöma tvångsarbete, när samma lagutskott gick med på att i 1918 års fattigvårdslag stadga tvångsarbete för försumliga familjeförsörjare. Det synes mig, som om man från lagutskottets synpunkt skulle vilja gå ut ifrån, att man skall behandla fäder till utom äktenskapet födda barn på ett annat, mildare sätt än fäder till barn inom äktenskapet. Jag kan icke komma ifrån, att lagutskottet ser saken, som om samtliga eller åtminstone de flesta av dessa fäder till utom äktenskapet födda barn skulle vara våldförda av </w:t>
      </w:r>
      <w:r>
        <w:rPr>
          <w:b/>
        </w:rPr>
        <w:t>kvinnorna¹</w:t>
      </w:r>
      <w:r>
        <w:rPr>
          <w:b w:val="0"/>
        </w:rPr>
        <w:t xml:space="preserve"> och således borde gå fria, under det </w:t>
      </w:r>
      <w:r>
        <w:rPr>
          <w:b/>
        </w:rPr>
        <w:t>kvinnorna¹</w:t>
      </w:r>
      <w:r>
        <w:rPr>
          <w:b w:val="0"/>
        </w:rPr>
        <w:t xml:space="preserve"> ensamma skulle draga bördan. Om man ser saken, som man bör se den, d. v. 8 så att man även ser till </w:t>
      </w:r>
      <w:r>
        <w:rPr>
          <w:b/>
        </w:rPr>
        <w:t>moderns²</w:t>
      </w:r>
      <w:r>
        <w:rPr>
          <w:b w:val="0"/>
        </w:rPr>
        <w:t xml:space="preserve"> och barnets rätt, kan det icke vara riktigt, att de flesta fäder i detta fall skola kunna slingra sig ifrån sina skyldigheter. Herrarna skola komma ihåg. att det icke är hälften av fäderna till utom äktenskapet födda barn, som draga försorg om sina barn, utan de slingra sig ifrån denna skyldighet. Herr talman! Jag ber att få yrka bifall till motionen.</w:t>
      </w:r>
    </w:p>
    <w:p>
      <w:pPr>
        <w:pStyle w:val="Heading2"/>
      </w:pPr>
      <w:r>
        <w:t>3. Ivar Pettersson (Bondeförbundet, man)</w:t>
      </w:r>
    </w:p>
    <w:p>
      <w:r>
        <w:rPr>
          <w:b w:val="0"/>
        </w:rPr>
        <w:t>Herr talman, mina herrar! Det har icke varit utskottets mening att bestrida, att den sak, på vilken den ärade motionären tagit sikte, är av synnerlig vikt och att det är en behjärtansvärd tanke, som varit vägledande för honom. Själv har jag under många år deltagit i agitationen för strängare bestämmelser mot försumliga försörjningsskyldiga, och jag vågar därför påstå, att jag också visat, att jag anser det vara en viktig sak att icke låta sådana individer slippa alltför lindrigt undan.</w:t>
        <w:br/>
        <w:br/>
        <w:t>Utskottet har emellertid ansett, att motionärens förslag går något för långt. Motionären föreslår nämligen, att om någon enligt rättens eller domarens beslut eller skriftligt, av två personer bevittnat avtal är pliktig att fullgöra lagstadgad underhållsskyldighet, men underlåter att betala förfallet belopp, skall den betal-</w:t>
        <w:br/>
        <w:br/>
        <w:t>nungens befallningshavande -kunna ådömas tvångsarbete. D. v. s.</w:t>
        <w:br/>
        <w:br/>
        <w:t>skapet födda enbart underlåtenhet att fullgöra stadgad underhållsplikt skall kun-</w:t>
        <w:br/>
        <w:br/>
        <w:t>na medföra, att den försumlige ådömes tvångsarbete. Detta är att</w:t>
        <w:br/>
        <w:br/>
        <w:t xml:space="preserve">deras </w:t>
      </w:r>
      <w:r>
        <w:rPr>
          <w:b/>
        </w:rPr>
        <w:t>mödrars²</w:t>
      </w:r>
      <w:r>
        <w:rPr>
          <w:b w:val="0"/>
        </w:rPr>
        <w:t xml:space="preserve"> &amp;å, väsentligt längre än vår lagstiftning hittills gjort. Det före-</w:t>
        <w:br/>
        <w:br/>
        <w:t>kommer icke hos oss, att man kan bli ådömd tvångsarbete, endast därför att man har underlåtit att fullgöra sin underhållsplikt. Därför tror jag, att utskottet har fog för sitt påstående, att motionärens yrkande går utöver vad som av oss allmänneligen anses skäligt.</w:t>
        <w:br/>
        <w:br/>
        <w:t>Nu anför motionären, att det är inkonsekvent av första lagutskottet att avstyrka hans förevarande motion, eftersom utskottet 1918 var med om att tillstyrka den nya fattigvårdslagen. Därpå vill jag först och främst svara, att det icke var första lagutskottet, utan ett särskilt utskott, som behandlade 1918 års proposition angående lag om fattigvården. Men vidare vill jag erinra, att 1918 års fattigvårdslag icke stadgar, att någon kan bli ådömd tvångsarbete, endast på grund av att han underlåter att fullgöra sin underhållsskyldighet, utan lagen stadgar i 71 $, att om någon genom lättja eller liknöjdhet ådrager sitt minderåriga barn eller adoptivbarn 0. s. v. sådan nöd, att fattigvård enligt 1 $ måste lämnas, är han, även om fattigvården är allenast tillfällig, skyldig att efter föreläggande av fattigvårdsstyrelsen inställa sig till och efter sin förmåga fullgöra honom å fattigvårdsanstalt eller eljest anvisat arbete. Där kan han kvarhållas, och sedan kan han, om han tredskas, under vissa förutsättningar ådömas tvångsarbete. För att han skall kunna åläggas inställa sig på fattigvårdsanstalten och utföra arbetet, förutsättes således icke endast, att han underlåter att fullgöra sin underhållsskyldighet, utan också, att det visas, att orsaken till denna försumlighet är hans lättja eller liknöjdhet, och endast ifall han där underlåter att göra sin plikt, kan han ådömas tvångsarbete. Således är det en mycket strängare princip, som motionären nu förordar.</w:t>
        <w:br/>
        <w:br/>
        <w:t>Jag hemställer om bifall till utskottets förslag i första punkten.</w:t>
      </w:r>
    </w:p>
    <w:p>
      <w:pPr>
        <w:pStyle w:val="Heading2"/>
      </w:pPr>
      <w:r>
        <w:t>4. Erik Godin (Liberala samlingspartiet, man)</w:t>
      </w:r>
    </w:p>
    <w:p>
      <w:r>
        <w:rPr>
          <w:b w:val="0"/>
        </w:rPr>
        <w:t>Herr talman, herrar kammarens ledamöter! Då utskottet enhälligt hemställt, att min motion icke måtte till någon riksdagens åtgärd föranleda, torde det vara lönlöst att göra något yrkande, som kan komma att bifallas av kammaren, men jag kan icke underlåta att försvara mitt påstående i motionen, att lagen, sådan den nu är, icke är fullt effektiv, utan att den kringgås, så-</w:t>
        <w:br/>
        <w:br/>
        <w:t xml:space="preserve">som jag uti motionens motivering anfört. Jag har hört barnavårds- Ang. tillvaramän från såväl hemorten som från Medelpad klaga över att lagen ogande av kringgås, såsom jag påstår. Jag vill också hava tillagt, att det är skapet födda icke männen ensamma, som avvika från sin underhållsskyldighet, barns och utan </w:t>
      </w:r>
      <w:r>
        <w:rPr>
          <w:b/>
        </w:rPr>
        <w:t>kvinnorna¹</w:t>
      </w:r>
      <w:r>
        <w:rPr>
          <w:b w:val="0"/>
        </w:rPr>
        <w:t xml:space="preserve"> göra sammaledes. deras </w:t>
      </w:r>
      <w:r>
        <w:rPr>
          <w:b/>
        </w:rPr>
        <w:t>mödrars²</w:t>
      </w:r>
      <w:r>
        <w:rPr>
          <w:b w:val="0"/>
        </w:rPr>
        <w:br/>
        <w:br/>
        <w:t>På sidan 3, i femte stycket, uti utskottsutlåtandet säger sig 76 m.m. utskottet dela den till grund för motionerna liggande uppfatt- = (Forts) ningen, att de möjligheter till förbättrande av de utom äktenskap födda barnens ställning, som genom 1917 års lagstiftning skapats, böra effektivt tillvaratagas. Syftet med motionerna finner utskottet därför vara i hög grad behjärtansvärt. Å sidan 7, i femte stycket, yttrar utskottet: »Väl finner utskottet det vara ett önskemål av vikt, att underhållspliktiga ej genom avflyttning till främmande land må kunna undgå fullgörandet av sin försörjningsskyldighet. Den av motionären föreslagna anordningen synes dock utskottet vara förenad med uppenbara olägenheter, som ej stå i rimligt förhållande till det syfte, motionären avsett att vinna. Överhuvudtaget gäller beträffande möjligheten att förekomma utflyttning av underhållsskyldiga, att, på sätt lagberedningen yttrat, ju större effektivitet man söker vinna, dess mera kunna befogade intressen trädas för nära.» Uti svenska fattigvårdsförbundets barnavårdsutskotts yttrande om min motion framhålles, att det torde vara tydligt, att det icke allenast är förenat med avsevärda praktiska svårigheter utan även är synnerligen vanskligt att göra detta avflyttningsförbud fullt effektivt. Lagberedningen har också i motiven till lagen härom yttrat: »Ju större effektivitet man söker vinna, dess mera kunna befogade intressen trädas för nära eller åtgärder bli erforderliga, som icke stå i rimligt förhållande till det avsedda syftet.» Jag anser, att den, som är underhållsskyldig enligt ifrågavarande lag, allra helst då det gäller för barn utom äktenskapet, har trätt den underhållsberättigades intressen så för nära. att det skall och bör finnas en lag, som helt gör det omöjligt för honom att undkomma underhållsskyldigheten, och i allra första rummet att avflytta ur riket.</w:t>
        <w:br/>
        <w:br/>
        <w:t xml:space="preserve">Vid nedskrivandet av min motion tänkte jag mig en mycket radikal åtgärd, nämligen en bestämmelse tillagd lagen av innehåll. att beträffande den, som enligt rättens eller domarens beslut dömts eller genom skriftligt avtal förbundit sig att utgiva underhållsbidrag, såsom i 8 1 omnämnts, skall det tillkomma domaren eller den, som ett sådant avtal upprättat, att därom meddela pastorsämbetet i den församling, där den underhållsskyldige är kyrkoskriven, och vare kyrkoherden skyldig att låta anteckna, att vederbörande är fader till det barn, som det är fråga om, samt att detta må följa hans betyg, vart än han flyttar inom riket; och att den, som med ett utflyttningsbetyg, varå sådan anteckning finnes, icke kan visa, att han upgjort med den underhållsberättigade, skall förnekas avflytta. En sådan åtgärd, förstår jag mycket väl, skulle icke tilltala herrarna uti lagutskottet; men om herrarna om några år få en eller annan </w:t>
      </w:r>
      <w:r>
        <w:rPr>
          <w:b/>
        </w:rPr>
        <w:t>kvinna¹</w:t>
      </w:r>
      <w:r>
        <w:rPr>
          <w:b w:val="0"/>
        </w:rPr>
        <w:t xml:space="preserve"> som riksdagskamrat uti lagutskottet, som komme med</w:t>
        <w:br/>
        <w:br/>
        <w:t xml:space="preserve">ett yrkande sådant som det jag nu antytt och påpekade, att mannen såväl som </w:t>
      </w:r>
      <w:r>
        <w:rPr>
          <w:b/>
        </w:rPr>
        <w:t>kvinnan¹</w:t>
      </w:r>
      <w:r>
        <w:rPr>
          <w:b w:val="0"/>
        </w:rPr>
        <w:t xml:space="preserve"> skulle antecknas för de barn de ägde utom äktenskapet, förmodar jag, att herrarna skulle för skams skull bifalla </w:t>
      </w:r>
      <w:r>
        <w:rPr>
          <w:b/>
        </w:rPr>
        <w:t>hennes²</w:t>
      </w:r>
      <w:r>
        <w:rPr>
          <w:b w:val="0"/>
        </w:rPr>
        <w:t xml:space="preserve"> yrkande. Med anledning av, att jag icke vågade komma med ett sådant förslag, såsom jag nyss anfört, kom jag att föreslå den av mig uti motionen anvisade vägen, vilken jag vågar påstå är fullt effektiv.</w:t>
        <w:br/>
        <w:br/>
        <w:t>Då man läser förevarande lag, så tycker man sig finna, att densamma är ganska väl skriven, men att den kringgås på det sätt jag i motionen anfört, anser jag obehövligt bevisa med andra ord än som använts i motiveringen till motionen.</w:t>
        <w:br/>
        <w:br/>
        <w:t>På sidan 7 i fjärde stycket, säger utskottet: »Enligt förenämnda lag åligger det den underhållsberättigade (resp. fattigvårdsstyrelse) att genom anmälan till vederbörande myndighet söka tillse, att underhållspliktig ej lämnar landet. Enligt ifrågavarande motion skulle en och var, underhållsskyldig eller ej, som öngkade lämna landet, förete medgivande från vederbörande överexekutor.» TI de fall, då den underhållsskyldige ämnar komma ifrån sin underhållsskyldighet, är det helt enkelt hans enskilda hemlighet, och det är omöjligt att följa honom uti hans hemliga åtgärder, varför det tillgår, såsom jag uti motionen påpekar.</w:t>
        <w:br/>
        <w:br/>
        <w:t xml:space="preserve">Jag anser, att en lag som denna bör vara så effektiv, att den icke i minsta mån kan kringgås, och så böra väl alla lagar vara? För att denna lag skall bliva fullt effektiv, måste ett tillägg till densamma göras, som tydligen förbjuder envar, såväl man som </w:t>
      </w:r>
      <w:r>
        <w:rPr>
          <w:b/>
        </w:rPr>
        <w:t>kvinna¹</w:t>
      </w:r>
      <w:r>
        <w:rPr>
          <w:b w:val="0"/>
        </w:rPr>
        <w:t>, att avflytta från landet, om han icke företer medgivande från överexekutor i den ort där han bor, och ett sådant medgivande måste grunda sig på barnavårdsnämnden och fattigvårdsstyrelsens vttrande uti de kommuner, den, som ämnar avflytta, tillhört de senaste två åren. Lagen får icke den säkra verkan den avser, förrän den fått ett sådant tillägg, som jag antytt, eller såsom jag förut påpekat, anteckning om faderskapet påskrives betyget, och att om det icke visas, att mellanhavandet med den underhållsberättigade är klarerat, han skall förvägras avflytta.</w:t>
        <w:br/>
        <w:br/>
        <w:t>Om utskottet skulle hava haft en tanke på att bifalla min motion, förmodar jag, att det skulle varit ganska enkelt att utforma ett tillägg till lagen. Jag skall be att få redogöra för, huru enkelt det med en sådan lagbestämmelse, jag önskat, skulle komma att ställa sig för den, som icke är underhållsskyldig enligt nämnda lag, om han ville ur riket avflytta och det vore brådskande. Då kan väl den, som vill avflytta ur riket, själv hos barnavårdsnämnden och fattigvårdsstyrelsen låta anskaffa intyg på, att han icke häftar för sådan underhållsskyldighet, som omförmäles i nämnda lag, samt låta dessa intyg biläggas ansökan till överexekutor, varpå avflyttaren nästan omgående finge medgivande att avflytta. Ja, så enkelt är det, om det sanna och rätta får bestämma.</w:t>
        <w:br/>
        <w:br/>
        <w:t>Herr talman! Jag har intet yrkande, men försäkrar herrarna, att kommer jag tillbaka till riksdagen ett annat år, skall 'motionen återkomma.</w:t>
      </w:r>
    </w:p>
    <w:p>
      <w:pPr>
        <w:pStyle w:val="Heading2"/>
      </w:pPr>
      <w:r>
        <w:t>5. Ivar Pettersson (Bondeförbundet, man)</w:t>
      </w:r>
    </w:p>
    <w:p>
      <w:r>
        <w:rPr>
          <w:b w:val="0"/>
        </w:rPr>
        <w:t xml:space="preserve">Då den ärade motionären 49. tillvarai sista stund avstod från sitt yrkande, borde jag egentligen strängt !29ande ar : - 3; : : M utom äktentaget icke behöva bemöta honom, men eftersom jag begärt ordet skapet födda kan jag icke underlåta att med ett par ord visa, vad motionärens barns och förslag i själva verket innebär. deras </w:t>
      </w:r>
      <w:r>
        <w:rPr>
          <w:b/>
        </w:rPr>
        <w:t>mödrars²</w:t>
      </w:r>
      <w:r>
        <w:rPr>
          <w:b w:val="0"/>
        </w:rPr>
        <w:t xml:space="preserve"> För närvarande är det så, att den, som är pliktig underhålla 7ätt m.m. barn under 16 år, icke får utflytta från riket, innan han hos över- = (Fort. exekutor ställt säkerhet för denna sin underhållsplikt. Om han det oaktat vill ge sig i väg, kan utmätningsmannen meddela honom förbud att avflytta, och ifall han överträder detta förbud. kan han genom polismyndighetens försorg fasttagas. Nu säger motionären, att detta är alldeles otillräckligt, och han vill i stället ha strängare bestämmelser, som gå ut på, att ingen, han må vara underhållspliktig eller icke, får avflytta från riket, innan han fått tillstånd av överexekutor. Motionären själv meddelar. att han tänkt sig saken ordnad så, att den, som vill utflytta och icke är underhållspliktig, skulle gå till barnavårdsnämnden eller fattigvårdsstyrelsen och skaffa sig intyg på, att han i detta avseende är fri. och sedan förete detta intyg hos överexekutor, som då har att meddela honom tillstånd att avflytta. Jag vill om detta förslag säga alldeles detsamma som om det av den ärade motionären i den föregående punkten väckta förslaget, nämligen att det naturligtvis kommer från ett mycket varmt intresse för att få dessa förhållanden så ordnade, att ingen kan undandraga sig sina skyldigheter, och det är ju riktigt. Men här gäller 1 ännu högre grad än beträffande den förra motionen, att motionären för att vinna sitt vackra syfte icke dragit sig för att föreslå mer än vad som är rimligt. Vi veta, att om en person vill resa utomlands — och det är många, som göra det i fullt berättigat syfte —- medför det vissa besvärligheter för honom att skaffa sig pass och få vederbörande utländska myndighets visum på detsamma. Men om man nu ytterligare skulle påläsga den, som vill avflytta ur landet, det besväret att gå till barnavårdsnämnden eller fattigvårdsstyrelsen och få intyg därom, att han icke har barn att försörja, för att sedan hos överexekutor få tillstånd att avflytta, tror jag, att vi lagt band på friheten att resa mellan länderna. som sannerligen icke äro påkallade av förhållandena. När man vill gagna vissa intressen, måste man se till, att man icke går så långt, att man därigenom kränker andra berättigade intressen. Jag yrkar bifall till utskottets hemställan i andra punkten.</w:t>
      </w:r>
    </w:p>
    <w:p>
      <w:pPr>
        <w:pStyle w:val="Heading2"/>
      </w:pPr>
      <w:r>
        <w:t>6. Erik Godin (Liberala samlingspartiet, man)</w:t>
      </w:r>
    </w:p>
    <w:p>
      <w:r>
        <w:rPr>
          <w:b w:val="0"/>
        </w:rPr>
        <w:t>Ja, herr talman, det är i alla fall såsom jag sagt, att denna lag blir ineffektiv, om man icke går till väga så, som jag här föreslagit. Det är en betydlig skillnad mellan att resa utomlands och avflytta från riket. Sådana, som resa utomlands och ora vilka man vet vart de taga vägen, kan man väl hålla reda på, men i detta fall är det fråga om sådana, som den underhållsberättigade visserligen kan hålla reda på, när de flytta från den ena orten till den andra, men icke kan få tag i, då de resa</w:t>
        <w:br/>
        <w:br/>
        <w:t>utomlands. Då finns icke någon annan bot för att få denna lag fullt effektiv än att gå till väga på det sätt, som jag här sagt.</w:t>
      </w:r>
    </w:p>
    <w:p>
      <w:pPr>
        <w:pStyle w:val="Heading2"/>
      </w:pPr>
      <w:r>
        <w:t>7. Carl Hederstierna (Lantmanna- och borgarepartiet inom andrakammaren, man)</w:t>
      </w:r>
    </w:p>
    <w:p>
      <w:r>
        <w:rPr>
          <w:b w:val="0"/>
        </w:rPr>
        <w:t>I de föregående punkterna har utskpttet ställt sig avvisande mot de förslag, som motionärerna där av varmhjärtade motiv framkommit med. Här däremot har utskottet gått motionären något till mötes, men enligt min mening borde utskottet i detta fall ha fullföljt samma taktik som i de bägge föregående punkterna.</w:t>
        <w:br/>
        <w:br/>
        <w:t>et ämne, som i denna punkt behandlas, har varit föremål för riksdagens avgörande redan förra året. Då avstyrkte första lagutskottet, att man skulle göra någonting i det avseende, som här är fråga om, och den ende, som då reserverade sig mot betänkandet, var utskottets ärade ordförande. Nu däremot har ordföynden fått utskottet med sig och föreslår en skrivelse till Kungl. Maj:t.</w:t>
        <w:br/>
        <w:br/>
        <w:t>Det gäller här att få tag på sådana fäder till oäkta barn, vilka försvunnit från orten, så att man icke vet, vart de tagit vägen, och som på det sättet undandraga sig sin underhållsskyldighet. Det är klart, att det finns ingen, som icke önskar, att dessa skulle kunna återföras till fullgörande av sina förpliktelser, men konsten är naturligtvis att hitta på ett sätt, som kan vara både lämpligt och effektivt.</w:t>
        <w:br/>
        <w:br/>
        <w:t xml:space="preserve">Innan denna fråga behandlades i lagutskottet, hade utskottets ordförande begärt ett yttrande från svenska fattigvårdsförbundets barnavårdsutskott, och det ställde sig — detta är ett ämne, som det naturligtvis särskilt intresserade sig för -— i alla fall ganska tveksamt inför denna fråga. Det säger, att det finner det »vara förenat med vissa betänkligheter att alltför ensidigt koncentrera samhällets ingripande mot en viss grupp underhållsskyldiga och tillämpa de strängaste åtgärder mot fäder, som undandraga sig sin underhållsskyldighet gentemot utom äktenskap födda barn, under det att samhället blott använder tämligen svaga maktmedel gentemot exempelvis dem, som försumma sin försörjningsplikt mot </w:t>
      </w:r>
      <w:r>
        <w:rPr>
          <w:b/>
        </w:rPr>
        <w:t>hustru²</w:t>
      </w:r>
      <w:r>
        <w:rPr>
          <w:b w:val="0"/>
        </w:rPr>
        <w:t xml:space="preserve"> och barn i äktenskapet. Det synes som om en allmän kriminalisering av försummelse av underhållsskyldigheten borde ske, ur vilken enhetliga åtgärder mot de försumliga underhållsskyldiga kunde härledas.»</w:t>
        <w:br/>
        <w:br/>
        <w:t>Detta barnavårdsutskott erkänner således öppet, att vad som här ifrågasättes är en verklig kriminalisering av det förfarande, mot vilket man här reagerar. Det fäster vidare uppmärksamheten på, att man icke bör ingripa mot andra än dem, som med berått mod undandraga sig sin skyldighet, och sedermera tar det ganska bestämt avstånd ifrån, att man skall införa dessa personers namn i Polisunderrättelser, såsom motionären föreslagit. I stället före-</w:t>
        <w:br/>
        <w:br/>
        <w:t>slås en särskild publikation för efterlysning av dessa försumliga 4zg. tillvaraunderhållsskyldiga. Motionären har nämligen föreslagit, i likhet f92ndr av</w:t>
        <w:br/>
        <w:br/>
        <w:t>bo . 3 o o . ti äktenmed motionären vid föregående års riksdag, att barnavårdsman — skapet födda utskottets ordförande förra året föreslog barnavårdsnämnd — skall barns och</w:t>
        <w:br/>
        <w:br/>
        <w:t xml:space="preserve">få föranstalta om, att dessa personers namn sättas in i Polisunderderas </w:t>
      </w:r>
      <w:r>
        <w:rPr>
          <w:b/>
        </w:rPr>
        <w:t>mödrars²</w:t>
      </w:r>
      <w:r>
        <w:rPr>
          <w:b w:val="0"/>
        </w:rPr>
        <w:t xml:space="preserve"> rättelser, och att på det viset hela vår polis skall sättas i rörelse "4 mm för att få tag i dessa, som försumma sin underhållsplikt. (Forts.) Huvudmotivet, varför vi i lagutskottet förra året icke vwilie vara med om detta, var icke så mycket, att det var ett sätt att låta dessa människor schavottera genom att stå i Polisunderrättelser, utan det, att man icke når dessa försumliga barnafäder på det sättet. Denna mening förfäktades inom utskottet icke blott av mig utan ock av en person, som då tillhörde lagutskottet och som jag många gånger saknat i utskottet i år, nämligen herr Leo. Vi framhöllo för utskottet, att när en landsfiskal får se i Polisunderrättelser, att där står efterlyst den och den personen, som är skyldig att underhålla det och det oäkta barnet, men försvunnit från orten, så kan landsfiskalen ingenting göra. Han vet icke, vilka som finnas inom hans distrikt. Denne person kan ha gett sig in på en arbetsplats och arbetar där året ut, och landsfiskalen får aldrig reda på honom. Jan gör aldrig någonting, som kan föranleda landsfiskalen att taga reda på hans namn, utan det är honom fullkomligt främmande, att denne man finns inom hans «distrikt. När han någon gång får anledning att taga reda på honom, har mannen i fråga begått någon förseelse, och då blir han anhållen. Han slår då upp Polisunderrättelser och finner honom i denna publikation. Det lär väl emellertid vara föga glädje för dem, som vilja ha honom efterlyst, att få tag i honom, sedan han kommit i delo med rättvisan och förmodligen har vida allvarligare saker att göra upp än denna sin underhållsskyldighet. Huvudmotivet för mig är således i detta fall, att den åtgärd, som här föreslås, är ineffektiv. Detta ansåg lagutskottets majoritet förra året, med undantag av som sagt ordföranden, och det anser jag fortfarande till skillnad från det nuvarande lagutskottet. Att föreslå ineffektiva åtgärder skall man icke göra, såvitt jag förstår. Jag ber, herr talman, att få yrka avslag på såväl den avgivna motionen som utskottets hemställan i förevarande purkt.</w:t>
      </w:r>
    </w:p>
    <w:p>
      <w:pPr>
        <w:pStyle w:val="Heading2"/>
      </w:pPr>
      <w:r>
        <w:t>8. Per Pehrsson (Nationella framstegspartiet, man)</w:t>
      </w:r>
    </w:p>
    <w:p>
      <w:r>
        <w:rPr>
          <w:b w:val="0"/>
        </w:rPr>
        <w:t>Herr talman! Då jag nu vill med några ord besvara det föregående yttrandet, vill jag allra först säga, att de erfarenheter, vi fått av dessa barnavårdslagar, äro i regel de allra bästa, och även på de punkter, där man tänkte att de skulle bli skäligen ineffektiva, ha de visat sig hava en synnerligen god inverkan. Man har också tänkt sig, att det skulle — det sades upprepade gånger — bli en syndaflod av skandalösa processer, men så har det icke heller visat sig kliva fallet i verkligheten.</w:t>
        <w:br/>
        <w:br/>
        <w:t>Nu har man likväl funnit åtskilliga och icke så få kryphål under lagens tillämpning, varigenom lagen göres ineffektiv. De tre motionärerna ha allesammans, under känslan av nödvändigheten utav</w:t>
        <w:br/>
        <w:br/>
        <w:t>att dessa kryphål skola stängas, varit eniga om att åtgärder måste vidtagas, fastän de sedan se saken på olika sätt.</w:t>
        <w:br/>
        <w:br/>
        <w:t>Jag skall i första hand endast vända mig mot vad som här sagts om ineffektiviteten av detta förslag. Det är likväl icke blott den saken, som är orsaken till avstyrkandet, utan den föregående talaren ställde sig ganska jämsides i denna punkt med förra årets lagutskott. Jag skall därvid be att få erinra om, att frågan ligger annorlunda nu än då. Det förhåller sig nämligen så, att då hade föreslagits, att dessa efterlysningar skulle ske i länskungörelser och i polisunderrättelser. Vidare hade föreslagits, att dessa kungörelser skulle kunna omfatta även personer, vilkas faderskap ännu icke blivit fastställt och för vilka man sålunda icke genom laga dom eller avtal fått underhållsskyldigheten fastställd. Det är således en betydande åtskillnad, som föreligger. Som vi se av utskottets hemställan, har det ytterligare modifierat motionärens förslag.</w:t>
        <w:br/>
        <w:br/>
        <w:t>Jag hade nämligen hemställt, att det skulle vara endast sådana. vilkas underhållsskyldighet uttryckligen var fastställd, som skulle komma i fråga, och vidare har jag heller aldrig tänkt på, att de skulle komma in i länskungörelserna. Därmed skulle saken hava fått en annan färg. Det hade blivit ett ingripande i de personliga rättigheterna, som man väl kan ställa sig mycket tveksam inför. Det, som kommer in i polisunderrättelser, är däremot såsom av konfidentiell natur endast avsett för polismyndigheterna. Nu har, såsom jag nämnde, utskottet modifierat detta med hänsyn till fattigvårdsförbundets barnavårdsutskotts yttrande i detta stycke, där man talat om, att man borde kanske föra in dessa personers namn i en särskild publikation, som skulle stå till användning för barnavårdsnämnden och barnavårdsmännen och varigenom dessa skulle komma i tillfälle att hjälpa varandra och få hjälp jämväl av polismyndigheten. När den föregående talaren citerade barnavårdsutskottet, citerade han såsom naturligt var endast det, som passade allra bäst för ett yrkande på.avslag, men det finns naturligtvis också åtskilligt, som föranlett barnavårdsutskottet att i själva verket yrka kifall, ty det kommer med sina premisser fram till ett yrkande om bifall.</w:t>
        <w:br/>
        <w:br/>
        <w:t>Nu vill jag efter att hava visat, att saken sålunda nu ligger på ett helt annat sätt än förut, nämna för herrarna, att bakom detta krav stå dock — kan jag säga— i stort sett våra arbetande barnavårdsmän och barnavårdsmyndigheter i landet. Det har nämligen visat sig, att utan vissa ändringar kommer denna lag att i mycket hög grad bli ineffektiv. Jag har ju haft en mycket rik erfarenhet under åtskilliga år från ett mycket stort barnavårdsdistrikt, där jag haft tillfälle att se, hur saken ter sig. Jag har av ett par av de karnavårdsmän, som jag samarbetat med, begärt att få redogörelse för några sådana fall från den sista tiden, som skulle kunna belysa vad vi avse. Jag vill nämna något härav. Jag skall icke belasta kammarens protokoll eller herrarnas intresse med att taga det alltför detaljerat, utan jag skall endast nämna något.</w:t>
        <w:br/>
        <w:br/>
        <w:t>Det är exempelvis en man, som är furir, och som för att undgå</w:t>
        <w:br/>
        <w:br/>
        <w:t xml:space="preserve">införsel rymt från regementet. Han har sedermera icke kunnat an- Ang. tillvaraträffas, utan han har varje gång, man fått spaning på honom, för- Toner av svunnit, så snart man efterfrågade honom. Det är en servitör i allskapet födda deles samma ställning, om vilken man vet, att han verkligen har barns och ganska goda inkomster. Det är en agent, vars lön utgår i Provideras </w:t>
      </w:r>
      <w:r>
        <w:rPr>
          <w:b/>
        </w:rPr>
        <w:t>mödrars²</w:t>
      </w:r>
      <w:r>
        <w:rPr>
          <w:b w:val="0"/>
        </w:rPr>
        <w:t xml:space="preserve"> sioner å försålda varor och som på samma sätt håller sig undan. 7&amp;t m.m. Det är ett f. d. apoteksbiträde, som av samma skäl, som det heter, = (Forts) här »försvunnit». Det är en musiker, som tjänstgör på olika små</w:t>
        <w:br/>
        <w:br/>
        <w:t>teatrar eller varietéer ute i bygderna, det är en cirkusartist o. s. v.</w:t>
        <w:br/>
        <w:br/>
        <w:t>Jag skulle, som sagt, kunna fortsätta denna lista ganska länge.</w:t>
        <w:br/>
        <w:br/>
        <w:t>Sedan barnvårdsnämnderna kommit i kontakt med varandra därigenom, att det träffats en inbördes överenskommelse mellan barnavårdsnämnderna i olika bygder av riket, har det förunderliga inträffat — och det är väl helt naturligt, att den föregående ärade talaren icke kunde ha reda härpå —- att barnavårdsnämnderna genom att på detta sätt få meddelanden från varandra i icke ringa mån kunnat hjälpa varandra. Det är just med hänsyn till denna erfarenhet, som man nu kan påstå, att det vore av synnerligen stor vikt, om man finge in dylika underrättelser i någon publikation.</w:t>
        <w:br/>
        <w:br/>
        <w:t>Jag har i detta avseende naturligtvis ingenting emot den form, som utskottet här sätter alternativt, ehuru jag icke själv föreslagit den, — jag tänkte närmast på Polisunderrättelser. Jag tror, att det i realiteten skulle bli ganska effektivt även för att återfinna personer, men för mig ställer sig saken dock beträffande effektiviteten på ett annat sätt. Jag menar, att om en barnavårdsman har möjlighet att säga till den, om vilken han har anledning att vänta eller kanske redan fått erfarenhet om, att här kommer den mannen att ge sig iväg för att slippa undan: »Om det sker, komma vi att efterlysa er i enlighet med lagens bestämmelser», kommer just det hot, som ligger häri, att verka så återhållande, att själva denna indirekta verkan kommer att bli av allra största betydelse för att få denna lagbestämmelse mera allmänt och bättre genomförd.</w:t>
        <w:br/>
        <w:br/>
        <w:t>Jag vill också säga, att om man icke skulle nå allt, ty det tror jag visst icke, att man kan göra, ty det finns ingen möjlighet i världen att skriva en lag så, att folk icke kan hitta på att undkomma den, och det finns icke möjlighet att få en lag tillämpad så, att icke en och annan slinker igenom, så kommer detta likväl att i så många fall verka gott, att det fullkomligt motiverar införandet av en sådan bestämmelse.</w:t>
        <w:br/>
        <w:br/>
        <w:t>Jag skulle i detta fall vilja tala till lantbrukarna. Jag bara frågar herrarna: Vart skulle det taga vägen, om man skulle räkna på det sättet i det praktiska livet? Jag har en hägnad kring min täppa, och i den hägnaden brytes det ett hål, så att både kalvar och stutar ogenerat gå igenom. Skulle man då säga: Jag bryr mig icke om att bota detta, ty alltid finns det getter, som hoppa över?</w:t>
        <w:br/>
        <w:br/>
        <w:t>Nej, jag är alldeles övertygad om, att man skulle säga, att »naturligtvis skola vi i alla fall göra vårt bästa för att stoppa till hålet». Just att införa en sådan bestämmelse som den nu föreslagna</w:t>
        <w:br/>
        <w:br/>
        <w:t xml:space="preserve">skopet födda Såsom jag sade, har jag ju också barnavårdsnämnderna bakom barns och mig. Det hart. ex. kommit en skrivelse till Norrköpings stads rederas </w:t>
      </w:r>
      <w:r>
        <w:rPr>
          <w:b/>
        </w:rPr>
        <w:t>mödrars²</w:t>
      </w:r>
      <w:r>
        <w:rPr>
          <w:b w:val="0"/>
        </w:rPr>
        <w:t xml:space="preserve"> presentanter, där de uppmanas att stödja denna motion. Jag har vätt m.m. skrivit min motion efter att ha haft ett sammanträde med Göte- (Forts) horgs stads barnavårdsmän. Där finnas ju personer av olika kategorier, av alla partier, och där rådde icke mer än en mening om önskvärdheten icke blott beträffande denna punkt utan även och framför allt i fråga om den första punkten i motionen, som här blivit avstyrkt av utskottet. Jag vågar därför säga, att för dem, som praktiskt arbetat i denna fråga, är det ingen tvekan om, att icke detta är en åtgärd, som skulle medföra mycket stor välsignelse i denna av oss alla säkert erkänt betydelsefulla fråga. Jag är därför övertygad om, att om denna lagbestämmelse skulle bli verklighet, skulle det medföra en stor förmån i fråga om tillämpligheten av</w:t>
      </w:r>
    </w:p>
    <w:p>
      <w:pPr>
        <w:pStyle w:val="Heading2"/>
      </w:pPr>
      <w:r>
        <w:t>9. Ivar Pettersson (Bondeförbundet, man)</w:t>
      </w:r>
    </w:p>
    <w:p>
      <w:r>
        <w:rPr>
          <w:b w:val="0"/>
        </w:rPr>
        <w:t>Herr talman, mina herrar! Den ärade reservanten ansåg, att utskottet även i denna fråga borde ha följt samma taktik som beträffande de bägge andra motioner, som omhandlas i samma betänkande. Jag vill gentemot detta framhålla, att det dock är en betydlig skillnad mellan å ena sidan de förslag, som framställts av herrar Paulsen och Godin, och å andra sidan det av herr Pehrsson i Göteborg framlagda i denna punkt berörda förslaget. De förra motionärerna ha ju föreslagit dels tvångsarbete för underlåtenhet att betala en skuld, dels förbud för rikets invånare att avflytta till främmande ort utan tillstånd av administrativa myndigheter. I denna punkt är det däremot endast fråga om, att några verkligt försumliga försörjare skulle utsättas för risken, att deras a kungjordes i Polisunderrättelser eller i någon annan publi-</w:t>
        <w:br/>
        <w:br/>
        <w:t>Den ärade reservanten påpekade, att fattigvårdsförbundets barnavårdsutskott uttalat viss tveksamhet rörande lämpligheten av den föreslagna reformen. Jag vill i anledning därav framhålla, att även utskottet givit uttryck åt en viss tvekan i detta stycke. Detta framgår av den formulering, som utskottet givit åt sin klämm, där utskottet hemställt, »att riksdagen, i anledning av herr Pehrssons motion, måtte i skrivelse till Kungl. Maj:t anhålla, att Kungl. Maj:t måtte anställa utredning, huruvida och under vilka förutsättningar efterlysande i Polisunderrättelser eller annan publikation» må i förevarande fall kunna äga rum. Då man använder en så försiktig formulering, anses det vara uttryck för en viss tvekan. Man är icke absolut säker på sin sak, men anser i alla fall, att frågan är värd en undersökning. .</w:t>
        <w:br/>
        <w:br/>
        <w:t>Då reservanten vidare säger, att det här är fråga om en verklig kriminalisering, vågar jag verkligen sätta ett stort frågetecken inför det påståendets riktighet. Det kan väl icke vara möjligt, att man kriminaliserar en gärning genom att bestämma, att vederbörande</w:t>
        <w:br/>
        <w:br/>
        <w:t xml:space="preserve">skola kunna efterlysas i Polisunderrättelser. Vi ha redan förut en Ang. tillvaraföreskrift om, att försumliga försörjare, som överträda ett reseför- !fagande ar bud, skola kunna efterlysas i Polisunderrättelser. Jag tror icke, skapet födda att man kan säga, att överträdande av reseförbud därigenom är barns och kriminaliserat. För kriminalisering av en handling erfordras nämderas </w:t>
      </w:r>
      <w:r>
        <w:rPr>
          <w:b/>
        </w:rPr>
        <w:t>mödrars²</w:t>
      </w:r>
      <w:r>
        <w:rPr>
          <w:b w:val="0"/>
        </w:rPr>
        <w:t xml:space="preserve"> ligen att handlingen helägges med straff i strafflagen eller annan lag, "82 mm. Slutligen anförde den ärade reservanten, att hans huvudskäl för (Forts) avstyrkande var, att den föreslagna bestämmelsen icke skulle bli effektiv. I det avseendet åberopade han, att man icke kan tänka sig, att, om detta förslag blir lag, de landsfiskaler, som läsa Polisunderrättelser, taga reda på om sådana efterlysta försumliga försörjare verkligen finnas i deras distrikt. Då det gäller att bemöta detta resonemang, är jag redan i viss mån förekommen av motionären själv. Det är nämligen så, att man väntar, att icke endast polismyndigheterna utan även fattigvårdsmyndigheterna skola, om en sådan bestämmelse blir lagstadgad, få mycket stort intresse av att studera Polisunderrättelser. Man kan då vänta sig, att fattigvårdsoch barnavårsmyndigheterna, då de få kännedom om att en försumlig försörjare efterlyses, skola sätta sig i rörelse för att få reda på, om han finns på deras plats. Och om så skulle befinnas vara förhållandet, kan man vänta, att de skola underrätta den efterlysande myndigheten. Som herr Pehrsson redan har meddelat, är man nämligen på god väg att åstadkomma ett intimt och verksamt samarbete mellan rikets alla fattigvårdsoch barnavårdsmyndigheter. Kan detta samarbete understödjas med en sådan åtgärd som den nu föreslagna, tror jag, att man har tagit ett stort steg för att ge full effektivitet åt barnavårdslagarnas bestämmelser. Jag ber att få yrka bifall till utskottets hemställan.</w:t>
      </w:r>
    </w:p>
    <w:p>
      <w:pPr>
        <w:pStyle w:val="Heading2"/>
      </w:pPr>
      <w:r>
        <w:t>10. Carl Hederstierna (Lantmanna- och borgarepartiet inom andrakammaren, man)</w:t>
      </w:r>
    </w:p>
    <w:p>
      <w:r>
        <w:rPr>
          <w:b w:val="0"/>
        </w:rPr>
        <w:t>Då den ärade motionären talade om, att saken skulle ligga annorlunda i år än förra året, vill jag säga honom, att oaktat yrkandet i motionen förra året var vidsträcktare, har det varken då eller nu framhållits någon synpunkt, som icke vi i lagutskottet redan förra året hade under övervägande. Vi ha ej fått något nytt uppslag vare sig från motionären eller från någon annan.</w:t>
        <w:br/>
        <w:br/>
        <w:t>Motionären talade sedan mycket drastiskt om sina furirer och servitörer m. fl., som försvinna, men han erkände i samma veva, att man även utan denna lagstiftning kunde få tag i dessa servitörer och furirer tack vara det samarbete, som äger rum mellan de olika barnavårdsmyndigheterna. Det förefaller mig, som om man i detta avseende vore på rätt väg och att man borde fortsätta på det sättet i stället för att anlita åklagarmyndigheterna och Polisunderrättelser.</w:t>
        <w:br/>
        <w:br/>
        <w:t>Motionären talade vidare om några bortsprungna kalvar och getter, och han ville draga ett drastiskt exempel för lantmännen, när han sade, att man skulle stoppa igen det hål, som djuren kröpo igenom. I detta kan också jag instämma med motionären. Det bör man visst göra, men då skall man använda ett stängselmedel, som</w:t>
        <w:br/>
        <w:br/>
        <w:t>verkligen stänger hålet i fråga, och icke ett sådant, att getterna och kalvarna genast kunna kila ut igen.</w:t>
        <w:br/>
        <w:br/>
        <w:t>Vad som enligt min mening är huvudfelet med herrarnas försök är, att det är ineffektivt. Herr Pehrsson talade om, att det är lämpligt att ha ett hot, som man kan skrämma med. Ja, för all del, men om personerna i fråga skola bli skrämda, få de icke mycket snart komma underfund med, att hotet är ineffektivt. Märka de, att man i alla fall icke kommer åt dem och aldrig träffar på dem, blir det ingen skrämsel av, utan man skrattar i stället åt myndigheterna.</w:t>
        <w:br/>
        <w:br/>
        <w:t>Herr ordföranden i utskottet opponerade sig emot, att man kallade den föreslagna åtgärden för kriminalisering. Jag skall icke diskutera den saken med honom, utan jag vill endast påpeka, att jag citerade barnavårdsutskottet, vilket, såsom jag tror, står honom ganska nära. Det är denna institution, som använder uttrycket »kriminalisering», och det visar ju, att det för laici betyder något, att man får figurera i Polisunderrättelser; det framstår i alla fall som en mindre behaglig påföljd.</w:t>
        <w:br/>
        <w:br/>
        <w:t>Som förut påpekats, har utskottet gått utöver motionens ram, därtill lockat av barnavårdsutskottets utlåtande. Motionären har endast talat om fäder till oäkta barn, men lagutskottet sätter i fråga, att var och en, som icke fullgör honom lagligen åliggande underhållsskyldighet, skulle bli efterlyst i Polisunderrättelser eller någon annan publikation. Äro vi verkligen så långt komna, att vi vilja efterlysa var och en, som icke fullgör sina lagliga skyldigheter?</w:t>
        <w:br/>
        <w:br/>
        <w:t>Jag vidhåller mitt yrkande.</w:t>
      </w:r>
    </w:p>
    <w:p>
      <w:pPr>
        <w:pStyle w:val="Heading2"/>
      </w:pPr>
      <w:r>
        <w:t>11. Per Pehrsson (Nationella framstegspartiet, man)</w:t>
      </w:r>
    </w:p>
    <w:p>
      <w:r>
        <w:rPr>
          <w:b w:val="0"/>
        </w:rPr>
        <w:t>Herr talman! Jag skall be att med några ord få svara på det sista yttrandet. Såsom ett huvudskäl för avstyrkande denna gång anfördes ju, att vi redan nu äro på rätt väg genom det omtalade samarbetet mellan de olika barnavårdsnämnderna, och den ärade talaren drog därav den slutsatsen: Alltså behöva vi icke göra något mera. Jag drager en alldeles motsatt slutsats: hava vi sålunda kommit på en god väg, så låt oss gå den vägen vidare framåt och upphjälpa detta samarbete till verklig effektivitet. Det synes mig vara en slutsats, som ligger mycket närmare till hands.</w:t>
        <w:br/>
        <w:br/>
        <w:t>Så fälldes ett ord, som jag icke kan underlåta att stanna vid. Det för oss kanske in på frågan i något vidsträcktare mån. Det var det uttrycket, att detta förfarande skulle under alla förhållanden för dem, det här gäller, om också icke innebära direkt kriminalisering, så dock medföra en mindre behaglig påföljd. Ja, mina herrar, det är meningen det! Det är meningen, att det skall vara en mindre behaglig påföljd, så att de verkligen genom denna mindre behagliga påföljd nödgas fullgöra sin plikt i detta hänseende!</w:t>
        <w:br/>
        <w:br/>
        <w:t>Jag skulle också gärna vilja upptaga utskottets behandling av de övriga punkter, som förekomma uti mitt i motionen framställda yrkande. Jag kan nämligen säga, att vad utskottet här tagit fram såsom skäl mot mitt yrkande i motionens första punkt,</w:t>
        <w:br/>
        <w:br/>
        <w:t xml:space="preserve">nämligen att frågan redan i hela sin vidd skulle ligga under be- 4ng. tillvarahandling i fattigvårdslagstiftningskommittén på grund av en riksfogade as dagsskrivelse av 1917, torde väl, om jag fattat saken rätt, icke vara skapet födda alldeles i överensstämmelse med verkliga förhållandet. Det var barns och herr Persson i Norrköping, som 1917 i samband med antagandet deras </w:t>
      </w:r>
      <w:r>
        <w:rPr>
          <w:b/>
        </w:rPr>
        <w:t>mödrars²</w:t>
      </w:r>
      <w:r>
        <w:rPr>
          <w:b w:val="0"/>
        </w:rPr>
        <w:t xml:space="preserve"> av dessa fattigvårdslagar motionerade om, att man även skulle 76 mm. kunna lämna förskott åt fattiga </w:t>
      </w:r>
      <w:r>
        <w:rPr>
          <w:b/>
        </w:rPr>
        <w:t>mödrar²</w:t>
      </w:r>
      <w:r>
        <w:rPr>
          <w:b w:val="0"/>
        </w:rPr>
        <w:t xml:space="preserve"> och barn, utan att dessa (Forts.) förskott skulle betraktas såsom fattigvårdsunderstöd. Detta blev av lagutskottet avstyrkt under den motiveringen, att frågan redan låg under fattigvårdslagstiftningskommitténs behandling. Men riksdagen fann, alt trots att frågan låg under fattigvårdslagstiftningskommitténs handläggning, så var detta likväl en så betydelsefull sak, att man ville på nytt skriva till Kungl. Maj:t därom.</w:t>
        <w:br/>
        <w:br/>
        <w:t xml:space="preserve">Nu kommer här ett nytt yrkande, som icke är detsamma som det, som den gången gjordes. Det gäller här en mycket betydelsefull fråga — och var och en, som i någon större utsträckning haft med tillämpningen av dessa lagar att göra, vet, att härvidlag kunna möta oerhörda svårigheter — nämligen den frågan, huru skall man förfara med dessa personer, som man icke kan nå genom införsel i lön? Och jag för min del har i min motion särskilt pekat på hemmasöner eller på dessa, som exempelvis äga en verkstad, som de sköta i </w:t>
      </w:r>
      <w:r>
        <w:rPr>
          <w:b/>
        </w:rPr>
        <w:t>moderns²</w:t>
      </w:r>
      <w:r>
        <w:rPr>
          <w:b w:val="0"/>
        </w:rPr>
        <w:t xml:space="preserve"> namn eller något sådant. I dylika fall är man nu alldeles strandsatt. Då säger fattigvårdslagen i 71 $, som redan citerats av utskottets ärade ordförande, att när det är lättja och liknöjdhet, så kan man först få fattigvårdsunderstöd enligt första paragrafen. Men sedan kommer i praktiken läget att ställa sig på följande sätt: — Jag skall citera ett fall, som i den nämnda Norrköpingsskrivelsen är omnämnt. Det är så belysande, att jag anför det, för att herrarna skola förstå, vad vi menat. — Det gäller en ogift </w:t>
      </w:r>
      <w:r>
        <w:rPr>
          <w:b/>
        </w:rPr>
        <w:t>arbeterska³</w:t>
      </w:r>
      <w:r>
        <w:rPr>
          <w:b w:val="0"/>
        </w:rPr>
        <w:t xml:space="preserve">, som har blivit övergiven av barnafadern. Nu har denna </w:t>
      </w:r>
      <w:r>
        <w:rPr>
          <w:b/>
        </w:rPr>
        <w:t>kvinna¹</w:t>
      </w:r>
      <w:r>
        <w:rPr>
          <w:b w:val="0"/>
        </w:rPr>
        <w:t xml:space="preserve"> hand om sitt barn. </w:t>
      </w:r>
      <w:r>
        <w:rPr>
          <w:b/>
        </w:rPr>
        <w:t>Hon²</w:t>
      </w:r>
      <w:r>
        <w:rPr>
          <w:b w:val="0"/>
        </w:rPr>
        <w:t xml:space="preserve"> sköter det med synnerlig omsorg och under stora försakelser. </w:t>
      </w:r>
      <w:r>
        <w:rPr>
          <w:b/>
        </w:rPr>
        <w:t>Hon²</w:t>
      </w:r>
      <w:r>
        <w:rPr>
          <w:b w:val="0"/>
        </w:rPr>
        <w:br/>
        <w:br/>
        <w:t>får bära denna börda ensam, mannen är, låt oss säga — jag hade nyss hand om ett sådant fall — verkstadsarbetare med egen verk-</w:t>
        <w:br/>
        <w:br/>
        <w:t xml:space="preserve">stad och goda inkomster. Men han har verkstaden i </w:t>
      </w:r>
      <w:r>
        <w:rPr>
          <w:b/>
        </w:rPr>
        <w:t>moderns²</w:t>
      </w:r>
      <w:r>
        <w:rPr>
          <w:b w:val="0"/>
        </w:rPr>
        <w:t xml:space="preserve"> namn. Han har ingenting att utmäta; han har ingen lön, det kan sålunda varken bliva införsel eller utmätning. Det föreligger sålunda obestridlig liknöjdhet. Men då säger fattigvårdsstyrelsen: Se på denna </w:t>
      </w:r>
      <w:r>
        <w:rPr>
          <w:b/>
        </w:rPr>
        <w:t>moder²</w:t>
      </w:r>
      <w:r>
        <w:rPr>
          <w:b w:val="0"/>
        </w:rPr>
        <w:t xml:space="preserve">, </w:t>
      </w:r>
      <w:r>
        <w:rPr>
          <w:b/>
        </w:rPr>
        <w:t>hon²</w:t>
      </w:r>
      <w:r>
        <w:rPr>
          <w:b w:val="0"/>
        </w:rPr>
        <w:t xml:space="preserve"> sköter sitt barn, </w:t>
      </w:r>
      <w:r>
        <w:rPr>
          <w:b/>
        </w:rPr>
        <w:t>hon²</w:t>
      </w:r>
      <w:r>
        <w:rPr>
          <w:b w:val="0"/>
        </w:rPr>
        <w:t xml:space="preserve"> har visserligen endast 20 kronor i veckan i inkomst, men på denna lilla lön kan </w:t>
      </w:r>
      <w:r>
        <w:rPr>
          <w:b/>
        </w:rPr>
        <w:t>hon²</w:t>
      </w:r>
      <w:r>
        <w:rPr>
          <w:b w:val="0"/>
        </w:rPr>
        <w:t xml:space="preserve"> om också med stor försakelse verkligen hjälpa sitt barn och taga hand om det. Men under dessa förhållanden kan </w:t>
      </w:r>
      <w:r>
        <w:rPr>
          <w:b/>
        </w:rPr>
        <w:t>hon²</w:t>
      </w:r>
      <w:r>
        <w:rPr>
          <w:b w:val="0"/>
        </w:rPr>
        <w:t xml:space="preserve"> icke få hjälp. Om </w:t>
      </w:r>
      <w:r>
        <w:rPr>
          <w:b/>
        </w:rPr>
        <w:t>hon²</w:t>
      </w:r>
      <w:r>
        <w:rPr>
          <w:b w:val="0"/>
        </w:rPr>
        <w:t xml:space="preserve"> däremot ackorderar ut barnet och sedan försummar att betala ackorderingsavgiften, på samma sätt som en och annan </w:t>
      </w:r>
      <w:r>
        <w:rPr>
          <w:b/>
        </w:rPr>
        <w:t>moder²</w:t>
      </w:r>
      <w:r>
        <w:rPr>
          <w:b w:val="0"/>
        </w:rPr>
        <w:t xml:space="preserve"> gör, då griper fattigvården in med anledning av 1 $ och 71 $ i fattigvårdslagen., Men härav blir sålunda följden, att den </w:t>
      </w:r>
      <w:r>
        <w:rPr>
          <w:b/>
        </w:rPr>
        <w:t>moder²</w:t>
      </w:r>
      <w:r>
        <w:rPr>
          <w:b w:val="0"/>
        </w:rPr>
        <w:t>, som strävsamt och plikttroget tar vård om sitt barn, får icke hjälp, och där kan manner icke hållas efter, under det att den, som är pliktförgäten och slarvig, kommer att få iagens</w:t>
        <w:br/>
        <w:br/>
        <w:t>hjälp för att försörja sitt barn. Man säger här i skrivelsen från Norrköping: »Vilken fara enbart i moraliskt hänseende, som ligger häri, torde vara uppenbart».</w:t>
        <w:br/>
        <w:br/>
        <w:t xml:space="preserve">Genom den nu föreliggande skrivelsen av 1917 har man velat ställa så, att förskott skulle kunna givas. Men detta skulle givas icke efter första paragrafen i fattigvårdslagen, utan det skulle givas utan att betraktas såsom fattigvårdsbidrag. Ja visst, det är ju synnerligen gott för barnet. Men, mina herrar, icke medför det, att man når denna försumlige försörjare. Och huru varmt jag än känner för dessa stackars barn och deras </w:t>
      </w:r>
      <w:r>
        <w:rPr>
          <w:b/>
        </w:rPr>
        <w:t>mödrar²</w:t>
      </w:r>
      <w:r>
        <w:rPr>
          <w:b w:val="0"/>
        </w:rPr>
        <w:t>, ställer jag mig dock ytterligt tveksam, huruvida det är den rätta vägen att gå, att man lämnar understöd ifrån samhällets sida, utan att man försöker att indriva detta, där det verkligen finnes möjlighet därtill. Jag anser, att vi i så fall gå på alldeles orätt väg. Vi hava då hoppat över från äldre germansk åskådning till mera gallisk uppfattning, som anser, att det är samhället, som i första hand har ansvaret för barnen, och att föräldrarna stå mera i en subsidiär ställning i detta hänseende. Hos oss däremot är föräldraansvaret och föräldraplikten en av de grundläggande principerna i hela vår lagstiftning. Och detta är dock en lagstiftning, om vilken jag vågar säga, mina herrar, att det är den bästa sociala lagstiftning, som i detta århundrade har gjorts av svenska riksdagen, nen som nu icke dess mindre efter tre års erfarenhet bör hjälpas upp. Det var en försökslagstiftning, och de tre årens försök hava visat, att vi behöva hjälpa upp den.</w:t>
        <w:br/>
        <w:br/>
        <w:t xml:space="preserve">Jag går tillbaka till detta, ty det är för mig så betydelsefullt: vi behöva hjälpa och stödja och taga hand om dessa barn — och deras </w:t>
      </w:r>
      <w:r>
        <w:rPr>
          <w:b/>
        </w:rPr>
        <w:t>mödrar²</w:t>
      </w:r>
      <w:r>
        <w:rPr>
          <w:b w:val="0"/>
        </w:rPr>
        <w:t>. — Men vi skola icke göra det utan att tillika se till, att rättskravet gentemot föräldrarna, de må vara inom eller utom äktenskapet, upprätthålles. Jag tackar här utskottet, för att det utsträckt denna fråga till att omfatta även barn inom äktenskapet. Det vågade iag icke göra för att icke komplicera saken, men det har utskottet vågat i sin motivering.</w:t>
        <w:br/>
        <w:br/>
        <w:t>Nu skall jag icke upptaga kammarens tid mycket längre i denna sak. Ärendet kan vara nog debatterat. Jag skall bara som slutord tillägga en förklaring, som jag tror föreligger, till det förhållandet, att den ärade reservanten, utskottets ordförande samt jag och bakom mig så gott som hela Sveriges arbetande barnavårdsmannaskap — finnes det undantag, skola de bekräfta regeln — att vi tre stå på så olika ståndpunkter. Lika varmt känna vi säkert alla för dessa kategorier av människor. Men varför se vi då saken så olika? Ja, mina herrar, jag tillåter mig den förmodan, vilken är mera än en gissning, att vi se frågan i, jag skulle vilja säga, olika instanser. Den ärade reservanten ser frågan från länsstyrelsens och överståthållareämbetets synpunkt, den ärade wutskottsordföranden ser den som ordförande i rådhusrätt. Men jag. mina herrar, och de med mig liktänkande, vi se den i första instansen, ty vi hava i arbetet stått öga mot öga inför hundratals dylika fall och kanske flera, vi hava sett dessa förhållanden på närmaste</w:t>
        <w:br/>
        <w:br/>
        <w:t xml:space="preserve">håll och hava därför fått denna känsla: här måste vi göra någonting för att hjälpa dessa barn och </w:t>
      </w:r>
      <w:r>
        <w:rPr>
          <w:b/>
        </w:rPr>
        <w:t>mödrar²</w:t>
      </w:r>
      <w:r>
        <w:rPr>
          <w:b w:val="0"/>
        </w:rPr>
        <w:t xml:space="preserve"> än vidare. Och det kunna vi</w:t>
        <w:br/>
        <w:br/>
        <w:t>icke utan att lagstiftningen i fråga om de pliktförgätna fäderna blir skapet födda</w:t>
        <w:br/>
        <w:br/>
        <w:t xml:space="preserve">effektivare. Jag vill säga er, mina herrar, att när man står inför dessa fall, då frågar man icke efter skulden i första hand. Man frågar icke, huruvida barnet är fött inom eller utom äktenskapet, utan man står där som människa inför en hjälpbehövande människa. När man handlagt hundratals sådana fall, så vet man, att man skall icke försöka kasta skulden enbart på mannen. Man skall icke göra </w:t>
      </w:r>
      <w:r>
        <w:rPr>
          <w:b/>
        </w:rPr>
        <w:t>kvinnan¹</w:t>
      </w:r>
      <w:r>
        <w:rPr>
          <w:b w:val="0"/>
        </w:rPr>
        <w:t xml:space="preserve"> oskyldig, utan skulden skall delas någorlunda jämnt. Det är icke meningen att man skall antaga en lagstiftning, som gynnar </w:t>
      </w:r>
      <w:r>
        <w:rPr>
          <w:b/>
        </w:rPr>
        <w:t>kvinnan¹</w:t>
      </w:r>
      <w:r>
        <w:rPr>
          <w:b w:val="0"/>
        </w:rPr>
        <w:t xml:space="preserve"> på mannens bekostnad. Men när man kommer till det praktiska utförandet, veta herrarna, huru det ter sig, då här står en sådan övergiven </w:t>
      </w:r>
      <w:r>
        <w:rPr>
          <w:b/>
        </w:rPr>
        <w:t>mor²</w:t>
      </w:r>
      <w:r>
        <w:rPr>
          <w:b w:val="0"/>
        </w:rPr>
        <w:t xml:space="preserve">? — Jag talar nu icke om de försumliga </w:t>
      </w:r>
      <w:r>
        <w:rPr>
          <w:b/>
        </w:rPr>
        <w:t>mödrarna²</w:t>
      </w:r>
      <w:r>
        <w:rPr>
          <w:b w:val="0"/>
        </w:rPr>
        <w:t xml:space="preserve">, de finnas dessvärre; jag överskyler icke heller deras skuld. — </w:t>
      </w:r>
      <w:r>
        <w:rPr>
          <w:b/>
        </w:rPr>
        <w:t>Hon²</w:t>
      </w:r>
      <w:r>
        <w:rPr>
          <w:b w:val="0"/>
        </w:rPr>
        <w:t xml:space="preserve"> har dock burit sitt barn i vånda och fött det i ångest och tagit hand om det ensam, och uppfostringskravet ligger nu på </w:t>
      </w:r>
      <w:r>
        <w:rPr>
          <w:b/>
        </w:rPr>
        <w:t>henne²</w:t>
      </w:r>
      <w:r>
        <w:rPr>
          <w:b w:val="0"/>
        </w:rPr>
        <w:t xml:space="preserve"> ensam. </w:t>
      </w:r>
      <w:r>
        <w:rPr>
          <w:b/>
        </w:rPr>
        <w:t>Hon²</w:t>
      </w:r>
      <w:r>
        <w:rPr>
          <w:b w:val="0"/>
        </w:rPr>
        <w:t xml:space="preserve"> släpar och sliter med sin lilla fattiga inkomst för att hålla sig själv och barnet uppe. Då säger jag: här vill jag taga av mig hatten för dessa </w:t>
      </w:r>
      <w:r>
        <w:rPr>
          <w:b/>
        </w:rPr>
        <w:t>mödrar²</w:t>
      </w:r>
      <w:r>
        <w:rPr>
          <w:b w:val="0"/>
        </w:rPr>
        <w:t>, — vare sig utom eller inom äktenskapet. Då man ser, hur de arbeta och försaka år efter år för att hålla hemmet uppe, så tycker man, att här om någonsin skulle man vilja hava ett hjältepris att utdela. Därför säga vi: vi måste visa dem barmhärtighet. Men, mina herrar, barmhärtighet utan rättfärdighet som ryggrad, det blir blöthet, som kommer att förstöra vår sociala lagstiftning. Och därför yrka vi, om det också skulle bliva obehagligt för dessa pliktförgätna, att de skola hållas efter. Det är nödvändigt för att vi skola kunna effektivt hjälpa alla dessa svaga och värnlösa, som i så hög grad behöva hjälp. Det är för landets framtid och för vårt folks sociala lycka.</w:t>
        <w:br/>
        <w:br/>
        <w:t>Herr talman! Det är ju förfärligt djärvt och, jag vet det nästan förmätet, men jag tillåter mig trots utskottets avstyrkande hemställan att yrka bifall till min motion i de två första punkterna. De båda övriga vill jag nu icke yttra mig om; de äro av mindre betydelse.</w:t>
        <w:br/>
        <w:br/>
        <w:t>Och jag tillägger: skulle det vara så farligt, mina herrar, om, sedan första kammaren avslagit motionen i denna första punkt, lagutskottets hemställan denna gång icke ginge igenom här, utan att fattigvårdslagstiftningskommittén, när den tar denna sak om hand, hade att taga hänsyn till ett uttalande av andra kammaren, att det bör tagas under omprövning och utredning, huru man skall kunna hjälpa i denna sak. Och sedan hade de juridiska myndigheterna att yttra sig, och alla juridiska skäl emot finge prövas. Och då vet jag, ehuru jag är lekman på området, att det bleve många svårigheter, men de juridiska svårigheterna äro till för att övervinnas, när man verkligen har en rättfärdig sak, som man vill hava fram.</w:t>
        <w:br/>
        <w:br/>
        <w:t>Ja, herr talman, jag djärves att yrka bifall till min motion i fråga om de två första punkterna.</w:t>
      </w:r>
    </w:p>
    <w:p>
      <w:pPr>
        <w:pStyle w:val="Heading2"/>
      </w:pPr>
      <w:r>
        <w:t>12. Ivar Pettersson (Bondeförbundet, man)</w:t>
      </w:r>
    </w:p>
    <w:p>
      <w:r>
        <w:rPr>
          <w:b w:val="0"/>
        </w:rPr>
        <w:t>Herr talman, mina herrar! Det är uppenbart att alla de tre ärade motionärerna hysa en varm faderskärlek till sina förslag. Man kan sannerligen icke tillvita dem, att de av lättja eller liknöjdhet försummat att draga försorg om sina barn. Och detta må i och för sig vara ganska vackert och riktigt. Men jag undrar ändå, om icke den siste ärade talaren i detta avseende är litet blind i sin faderskärlek, då han 1 denna punkt talar för bifall till den första punkten i sin motion — vilken punkt, såvitt jag kan förstå, egentligen skulle behandlas under nästa punkt av utskottets utlåtande. Motionären opponerade sig mot utskottets påstående, att detta förslag är en fråga, om vilken riksdagen redan skrivit för fyra år sedan. Han förnekade, att så strängt taget är förhållandet. Jag vill i anledning därav läsa upp de klämmar, om vilka här är fråga. Riksdagen skrev 1917 och begärde hos Kungl. Maj:t, att Kungl. Maj:t ville »taga under övervägande möjligheten att bereda förskott av allmänna medel åt barn utom äktenskap ävensom i vissa fall åt barn inom äktenskap samt därefter för riksdagen framlägga det förslag, vartill sådant övervägande kunde giva anledning». Herr Pehrsson föreslår i sin första punkt, att man skulle hos Kungl. Maj:t begära utredning om, »att ådömda eller genom avtal åtagna underhållsbidrag, som på grund av tredska ej betalas och ej annorlunda kunna indrivas, måtte utbetalas genom fattigvården, varefter denna må äga att av den underhållsskyldige utkräva beloppet, eventuellt genom intagande å arbetshem». +D. v. s. 1917 skrev riksdagen och begärde utredning, huru man av allmänna medel skulle kunna få underhåll utbetalda till barn inom och utom äktenskap. Herr Pehrsson vill hava utredning, huruvida man kan få medel till barn utom äktenskap utbetalda genom fattigvården. Uppenbarligen omfattar uttrycket »allmänna medel» jämväl fattigvårdsmedel. Alltså faller herr Pehrssons yrkande i den punkten under riksdagsskrivelsen 1917.</w:t>
        <w:br/>
        <w:br/>
        <w:t>Vidare vill herr Pehrsson också, att utredningen skall omfatta en undersökning, huruvida medel, som utbetalas av fattigvården till understödstagare, sedermera skola ersättas av statsverket. Riksdagen 1917 säger icke uttryckligen just så. Men riksdagen säger, att dessa understöd av allmänna medel skulle betraktas såsom förskott av det allmänna. Däri ligger naturligtvis den tanken, att de efteråt från något håll skola ersättas, och då kommer ju närmast i fråga, att de skola ersättas av den, som är lagligen skyldig att utbetala dem. Alltså vågar jag påstå, att riksdagsskrivelsen 1917 till fullo täcker motionärens ifrågavarande yrkande.</w:t>
        <w:br/>
        <w:br/>
        <w:t>I fråga om den nu föredragna punkten i utskottets utlåtande, punkten 3, har motionären, herr Pehrsson, yrkat bifall till sin motion. Då nu utskottets utlåtande icke till fullo överensstämmer med herr Pehrssons formulering i denna punkt, så kan det icke vara</w:t>
        <w:br/>
        <w:br/>
        <w:t xml:space="preserve">meningen annat, än att herr Pehrsson vill hava punkten formulerad så, som han själv föreslagit. Då vill jag framhålla, att i herr Pehrssons motion ifrågasättes endast, att fader, som försummat sin underhållsplikt, skall kunna efterlysas i Polisunderrättelser. Utskottet anser däremot, att man på detta område icke bör draga sig för att genomföra likställighet för man och </w:t>
      </w:r>
      <w:r>
        <w:rPr>
          <w:b/>
        </w:rPr>
        <w:t>kvinna¹</w:t>
      </w:r>
      <w:r>
        <w:rPr>
          <w:b w:val="0"/>
        </w:rPr>
        <w:t xml:space="preserve">. Utskottet vet — och den uppfattningen har herr Pehrsson icke i sitt anförande jävat — att även </w:t>
      </w:r>
      <w:r>
        <w:rPr>
          <w:b/>
        </w:rPr>
        <w:t>mödrar²</w:t>
      </w:r>
      <w:r>
        <w:rPr>
          <w:b w:val="0"/>
        </w:rPr>
        <w:t xml:space="preserve"> försumma sin försörjningsplikt. Såvitt jag kan se, innebär herr Pehrssons motion ett mera inskränkt område än det, utskottet angivit i sitt förslag, och jag föreställer mig, att utskottets förslag är bättre motiverat än motionärens.</w:t>
        <w:br/>
        <w:br/>
        <w:t>Jag har sålunda av vad den ärade motionären anfört icke blivit övertygad om, att det vore riktigare att bifalla hans motion än att bifalla utskottets hemställan i punkten 3, till vilken jag fortfarande yrkar bifall.</w:t>
      </w:r>
    </w:p>
    <w:p>
      <w:pPr>
        <w:pStyle w:val="Heading2"/>
      </w:pPr>
      <w:r>
        <w:t>13. Jeppe Clemedtson (Lantmanna- och borgarepartiet inom andrakammaren, man)</w:t>
      </w:r>
    </w:p>
    <w:p>
      <w:r>
        <w:rPr>
          <w:b w:val="0"/>
        </w:rPr>
        <w:t>Herr talman! I Svenska Fattigvårdsförbundets barnavårdsutskotts utlåtande, som är såsom bilaga fogat till detta utskottsbetänkande. påpekas, att fattigvårdslagstiftningskommittén tagit upp denna fråga till behandling i hela dess vidd, även med hänsyn till barn, som äro födda inom äktenskapet. Med anledning därav ber jag i detta sammanhang få göra ett litet påpekande.</w:t>
        <w:br/>
        <w:br/>
        <w:t xml:space="preserve">Det förhåller sig nämligen så, synes det mig, som om man vid lagstiftningen på detta område i många fall förbisett barns inom de legitima äktenskapen och de legitima </w:t>
      </w:r>
      <w:r>
        <w:rPr>
          <w:b/>
        </w:rPr>
        <w:t>mödrarnas²</w:t>
      </w:r>
      <w:r>
        <w:rPr>
          <w:b w:val="0"/>
        </w:rPr>
        <w:t xml:space="preserve"> rätt. Jag känner till fall, då t. ex. en gift familjeförsörjare i en familj på 7 åå 8 personer utan vidare kunnat fara ifrån sin försörjningsplikt och resa ur riket. Hade denne familjeförsörjare icke varit gift, utan haft exempelvis sju barn utom äktenskapet, så hade man på grund av lagen av den 14 juni 1917 kunnat utfärda förbud för honom att resa ur riket. Men nu, när han är gift och har sina många barn inom äktenskapet, kan icke denna lag tillämpas, utan han kan på detta sätt undandraga sig försörjningsplikten.</w:t>
        <w:br/>
        <w:br/>
        <w:t>Herr talman! Jag har i detta sammanhang endast velat göra detta påpekande, för att detta förhållande vid en blivande mutredning måtte bliva beaktat.</w:t>
      </w:r>
    </w:p>
    <w:p>
      <w:pPr>
        <w:pStyle w:val="Heading2"/>
      </w:pPr>
      <w:r>
        <w:t>14. Per Pehrsson (Nationella framstegspartiet, man)</w:t>
      </w:r>
    </w:p>
    <w:p>
      <w:r>
        <w:rPr>
          <w:b w:val="0"/>
        </w:rPr>
        <w:t>Herr talman! Jag har tydligen, utan att jag själv märkt det, gjort mig skyldig till ett misstag i mitt yrkande i förhållande till min motivering.</w:t>
        <w:br/>
        <w:br/>
        <w:t>Min motivering gick ut på, att jag med tacksamhet accepterade utskottets förändring av punkten 3 i min motion eller med andra ord det, som innefattas i punkten 3 av utskottets yrkande. Jag kom uppenbarligen att sammanslå punkten 4 med punkten 3 i utskottets hemställan, när jag gjorde mitt yrkande, varför jag, när punkten 4 föredragits, skall be att få återkomma till mitt yrkande i motionens första punkt. Jag vill då även i det sammanhanget svara på. vad utskottets ärade ordförande nyss sade.</w:t>
      </w:r>
    </w:p>
    <w:p>
      <w:pPr>
        <w:pStyle w:val="Heading2"/>
      </w:pPr>
      <w:r>
        <w:t>15. Per Pehrsson (Nationella framstegspartiet, man)</w:t>
      </w:r>
    </w:p>
    <w:p>
      <w:r>
        <w:rPr>
          <w:b w:val="0"/>
        </w:rPr>
        <w:t>Herr talman! Jag har redan med avseende på denna punkt yttrat mig. Jag hade icke lagt på minnet, att min motion av utskottet delats upp på två punkter. Detta gjorde, att jag här nyss tog upp hela frågan. Jag skall emellertid nu be att gentemot utskottets ordförande få säga några ord i det avseende, som det i denna punkt gäller.</w:t>
        <w:br/>
        <w:br/>
        <w:t xml:space="preserve">Vore det så, som av den ärade talaren sades, ja, då vore det icke anledning för mig att yrka bifall till den första punkten i min motion. Men jag undrar, om icke ett missförstånd av den ärade talaren föreligger. Lagutskottet har i ganska hög grad byggt sitt utlåtande på det av Svenska fattigvårdsförbundets barnavårdsutskott gjorda uttalandet. Jag har gått igenom handlingarna från 1917, då lagen antogs, och därav framgår, att motionen avsåg, att förskott skulle lämnas till </w:t>
      </w:r>
      <w:r>
        <w:rPr>
          <w:b/>
        </w:rPr>
        <w:t>kvinnor¹</w:t>
      </w:r>
      <w:r>
        <w:rPr>
          <w:b w:val="0"/>
        </w:rPr>
        <w:t xml:space="preserve"> och barn av allmänna medel men att dessa icke skulle betraktas såsom fattigvårdsmedel och sålunda icke kunna av fäderna utkrävas. Någon utvidgning av detta yrkande förekom, såvitt jag förstår, icke vid ärendets behandling.</w:t>
        <w:br/>
        <w:br/>
        <w:t>Nu står saken så —- och det ber jag att få göra herrarna uppmärksamma på — att fattigvårdsstyrelserna säga: vi våga icke, så länge som barnen ha sitt underhåll, ingripa och giva understöd efter 1 $ i fattigvårdsstadgan, därför att då kan Konungens befallningshavande göra anmärkning, och därför lämnas dessa bidrag efter den andra paragrafen. I den skrivelse från Norrköping, som jag nämnde, säger fattigvårdsstyrelsen, vilken varmt förordar detta, som jag anser vara av större betydelse än den fråga, som nyss är avgjord, bl. a. följande: »Villkoret för att den underhållsskyldige över huvud skall kunna nås av stadgandena 1 $ 71 är således, att</w:t>
        <w:br/>
        <w:br/>
        <w:t xml:space="preserve">fattigvård lämnas den underhållsberättigade och att denna fattig- 4ng. tillvaravård utgått enligt 8 1 i fattigvårdslagen. Denna fråga har mången sände av gång visat sig ganska svår att avgöra. Fattigvårdsstyrelsen önskapet födda skar med all kraft ingripa mot den försumlige underhållsskyldige, barns och men måste samtidigt på grund av $ 71:s nuvarande formulering gå deras </w:t>
      </w:r>
      <w:r>
        <w:rPr>
          <w:b/>
        </w:rPr>
        <w:t>mödrars²</w:t>
      </w:r>
      <w:r>
        <w:rPr>
          <w:b w:val="0"/>
        </w:rPr>
        <w:t xml:space="preserve"> försiktigt tillväga, då fattigvårdsstyrelsen ej gärna vill utsätta sig vän m.m. för en anmälan hos Konungens befallningshavande, att vid tillämp- = (Forts) ning av nämnda $ icke hava haft fattigvårdslagens 1 $ till grund.»</w:t>
        <w:br/>
        <w:br/>
        <w:t>Jag har här också skrivelser, som äro växlade mellan Göteborgs stads barnavårdsnämnd och Göteborgs fattigvårdsstyrelse. Jag kanske får tillägga, att mellan dessa båda råder liksom i Norrköping det intima samarbete, som gör, att man borde kunna lösa denna fråga. Men icke heller i Göteborg vågar man tillämpa saken på det sätt, som fattigvårdsförbundets barnavårdsutskott anser vara en tillräcklig lösning av frågan, utan här säges i en av dessa skrivelser, att en komplettering av lagen bör ske, så att möjlighet beredes Konungens befallningshavande att ålägga de försumlige en arbetsskyldighet motsvarande den, varom bestämmes i 71 $ fattigvårdslagen och som fattigvårdstyrelse icke nu kan ålägga dem.</w:t>
        <w:br/>
        <w:br/>
        <w:t>Mig har det synts naturligt, att vi nu icke böra göra om denna lagstiftning utan att binda eller knyta den till de stadganden, som vi redan ha och som i och genom de nya arbetshemmen kunna bliva ganska effektiva. Ty om man kan hota en försumlig underhållsskyldig med kommunalt tvångsarbete därför att arbetshem finnes på platsen — vi ha i Göteborg sådant arbetshem så är jag Övertygad om att han skall visa sig villig att, om också med knot, fullgöra sin plikt mot dem, som skola mottaga sin försörjning av honom. Jag vet icke, huruvida lagutskottets ärade ordförande kan ha några starka skäl, som visa, att denna synpunkt verkligen ingått som en integrerande del, då motionen och lagutskottet denna gång framställt samma synpunkt, nämligen förskott av allmänna medel men icke av fattigvårdskaraktär, och man bakom dessa allmänna medel icke satt något, som ersätter fattigvårdsstyrelses rätt att utkräva underhållsbidraget.</w:t>
        <w:br/>
        <w:br/>
        <w:t>Jag menar sålunda, att här föreligger verkligen ett nytt direktiv, som om det också i någon mån skulle rubba fattigvårdsförbundets cirklar har vunnit stöd av de båda barnavårdsnämnder, som jag talat om, av fattigvårdsstyrelser och av praktiska arbetare på området. Under sådana omständigheter kan ett bifall icke komma att innebära annat än, såsom jag sade, att när denna fråga — då punkt 3 nu är beslutad — kommer in för fattigvårdslagstiftningskommittén, man där ser, att andra kammaren tryckt på. att denna viktiga fråga skall tagas i beaktande och utredas i sin fulla omfattning. Något annat innebär det icke, då jag nu yrkar bifall till min motion i dess första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