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425</w:t>
      </w:r>
    </w:p>
    <w:p>
      <w:r>
        <w:rPr>
          <w:b/>
        </w:rPr>
        <w:t xml:space="preserve">Datum: </w:t>
      </w:r>
      <w:r>
        <w:t>1922-02-23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Ivan Pauli (Socialdemokraterna, man)</w:t>
      </w:r>
    </w:p>
    <w:p>
      <w:r>
        <w:rPr>
          <w:b w:val="0"/>
        </w:rPr>
        <w:t>Herr talman! Det kan kanske förefalla djärvt att ytterligare förlänga tiden för denna debatt. Men då denna motion har särskilt intresse för mig, fastän icke från samma utgångspunkt som för den föregående ärade talaren, har jag velat tillåta mig säga några ord.</w:t>
        <w:br/>
        <w:br/>
        <w:t>Det yttrades för ett par år sedan under debatten om en liknande motion av en talare, att han kände sig förhärdad av de motioner, som framställdes av herr Lindhagen. Jag är alldeles för nykommen i riksdagen för att hava hunnit till ett sådant stadium och hoppas icke komma dit, och jag skall söka poängtera detta genom att liksom den föregående talaren uttala min uppriktiga respekt för den varma och otvivelaktiga idealitet, som kommit till synes både i denna och i övriga föreliggande motioner av herr Lindhagen.</w:t>
        <w:br/>
        <w:br/>
        <w:t>Jag kan icke heller låta bli att uttrycka min beundran för hans outtröttlighet att år efter år framföra sina krav för kammaren. Det påminner mig om den gamla grekiska sagofiguren Anteus, om vilken man säger, att han blev starkare för varje gång man slog honom till marken. Det kan, såsom den föregående talaren nämnde, icke skada, att det finnes i riksdagen en person, som då och då ropar till riksdagen ett memento, även om han blir en ropandes röst i öknen, och påminner om att det viktigaste av allt är det som en norsk diktare kallade människoandens revoltering och att alla reformer vare sig de gå framåt eller bakåt icke båta till mycket, om det icke blir en förändring till det bättre i människans sinnelag.</w:t>
        <w:br/>
        <w:br/>
        <w:t>Att kammaren emellertid enstämmigt brukar avslå herr Lindhagens motioner, det beror naturligtvis på att man har så olika meningar om i vilken riktning förändringen bör gå, men framför allt på det förhållandet, som påpekades av utskottets ordförande, att klämmarna tyvärr i regeln äro så vagt formulerade, att man även med bästa vilja i världen icke kan pressa fram någonting positivt ur dem.</w:t>
        <w:br/>
        <w:br/>
        <w:t>Denna motion handlar nu om avskaffande av den rena evangeliska läran och införande i stället av vad han kallar kristendom. Det kan kanske låta som ett underligt tal, och man får nog taga detta uttryck cum grano salis. Förutsatt att jag lyckats tolka motionens innebörd rätt, skulle jag gärna vara med på ett dylikt yrkande, om jag bara visste hur det skulle kunna förverkligas. För min del instämmer jag i motionens huvudtanke, att man från principiell synpunkt omöjligen kan anse det vara en statens angelägenhet att förkunna i dogmatiska formler en viss bestämd åsikt om sådant som ligger utanför mänsklig kunskapsförmåga, och att följaktligen kyrkans läror icke»-äro något, som man från denna</w:t>
        <w:br/>
        <w:br/>
        <w:t>principiella synpunkt kan anse böra upprätthållas av staten. Men däremot är det en viktig samhällsangelägenhet att främja medborgarnas karaktärsdaning och inre utveckling, vilket herr Lindhagen beklagar, att man strukit ur ett partiprogram, där det förut fanns upptaget. Det är en social etik han vill verka för i denna som i andra motioner, och det han kallar kristendom tycker jag icke kan tolkas som annat än social etik; han vill hava en anda av ömsesidig rättvisa, tolerans och hjälpsamhet. Men han giver tyvärr icke någon antydan om huru detta skall kunna förverkligas. Han giver icke ens i konturerna någon antydan om det. Såsom avgjord optimist har han hoppats, att riksdagen och regeringen skola lyckas bättre med den saken. Och man kan icke annat än förvåna sig över att han tänker så högt om riksdagen, då man många gånger hört honom ganska onådigt uttala sig om densamma. Nu måste jag visserligen dela utskottets misströstan om att något skulle kunna göras av riksdagen och regeringen i detta fall, men jag kan icke underlåta att påpeka, att nog skulle man kunna få fram en eller annan positiv åtgärd i den linje herr Lindhagen tänkt sig.</w:t>
        <w:br/>
        <w:br/>
        <w:t>Om man ser på hans kritik av skolan och kyrkan, de två institutioner, som tydligen intressera honom mest, så är där en sak som är ägnad att förvåna. Det har av en föregående talare påpekats, att den naturliga konsekvensen av herr Lindhagens ståndpunkt skulle vara ett yrkande på statskyrkans avskaffande, ty vill man avskaffa kyrkans lära och icke avskaffa själva institutionen, som har till uppgift att förkunna denna lära, så förstår man icke sammanhanget dem emellan. Då han förklarade, att statskyrkan var en förtorkad gren på livets träd, är det naturligt att såga av denna gren för att lämna plats åt en mera livskraftig och grönskande. Men han tvekar och håller inne liksom Frithiof mitt i hugget. Han gör det av ett rätt egendomligt skäl. Han anser nämligen, att statskyrkan åtminstone till skenet representerar hans älsklingsidé, att karaktärsdaning och själavård är en samhällets angelägenhet, och det är på denna skenbara överensstämmelse mellan hans älsklingsidé och kyrkan, som han vill bibehålla en institution, som han i Övrigt så kraftigt utdömt.</w:t>
        <w:br/>
        <w:br/>
        <w:t xml:space="preserve">Om vi nu — för att övergå till något konkret, något att taga på — gå till hans kritik av skolväsendet, vilken intresserar mig såsom skolman, framgår det av hans uttalande i pressen och i motiveringen, att huvudfelet hos skolväsendet skulle vara att undervisningen vore alltför intellektualistisk och överdrivet går ut på förståndsodling på bekostnad av känslan och viljan och framför allt försummar de sociala känslornas utveckling. Jag kan icke taga upp tiden för att bemöta denna beskyllning för överdriven förståndsträning. Men jag vill fråga: skall man icke kunna anse, att människan för närvarande är i behov av den förståndsutbildning </w:t>
      </w:r>
      <w:r>
        <w:rPr>
          <w:b/>
        </w:rPr>
        <w:t>hon²</w:t>
      </w:r>
      <w:r>
        <w:rPr>
          <w:b w:val="0"/>
        </w:rPr>
        <w:t xml:space="preserve"> kan få, när vi dagligen se alltmer hoptraseslade problem erbjuda sig till utredning? Det tror jag för min del. Och jag skulle också vilja fråga: är det rätta tidpunkten att yrka på vad som enligt herr Lindhagens terminologi skulle kunna kallas intellektualismens</w:t>
        <w:br/>
        <w:br/>
        <w:t>avrustning i skolorna, när i dessa tider runt om i landet rörelser gras- Om införande</w:t>
        <w:br/>
        <w:br/>
        <w:t>sera, vilka visa direkt på en betänklig brist på förståndig kritik hos del-"”</w:t>
        <w:br/>
        <w:br/>
        <w:t>lagarna, men även sätta förståndet i fara för vissa av dem.</w:t>
        <w:br/>
        <w:br/>
        <w:t>Vad jag nu särskilt vill framhålla är nämligen, att inom det av motionären så skarpt förkättrade svenska skolväsendet ha under de sista åren vidtagits praktiska reformer, som, såvitt jag förstår, gå i sant humanistisk anda. Jag syftar här på den nya undervisningsplanen för folkskolan. Denna undervisningsplan har, såsom vi veta, inskränkt den dogmatiska religionsundervisningen till ett minimum. Vidare söker den medverka till barnens uppfostran till vidhjärtad fördragsamhet mot olika tänkande och till en historieuppfattning, där fredstanken och det mellanfolkliga samarbetet komma till sin fulla rätt.</w:t>
        <w:br/>
        <w:br/>
        <w:t>Jag har blott velat framhålla detta för att antyda, att det dock finnes en möjlighet till en anslutning till en sådan tankegång, som motionären är inne på, och få fram ett positivt förslag. Nu har motionären emellertid icke gjort detta, och därför kan jag icke annat än instämma med föregående talare och yrka bifall till utskottets hemställan.</w:t>
      </w:r>
    </w:p>
    <w:p>
      <w:pPr>
        <w:pStyle w:val="Heading2"/>
      </w:pPr>
      <w:r>
        <w:t>2. Carl Lindhagen (–, man)</w:t>
      </w:r>
    </w:p>
    <w:p>
      <w:r>
        <w:rPr>
          <w:b w:val="0"/>
        </w:rPr>
        <w:t>Jag begärde egentligen ordet, då herr Bergqvist talade om, att motionären ville uppträda såsom tuktomästare. Det är ingenting, som jag tycker att jag så litet skulle vilja vara. Men det kan hända, att, uppfostrad som man är i det politiska livet, man blir vredgad ibland och slår åt höger och vänster, men icke är det något berömligt eller bra. Med denna motion har meningen varit alldeles motsatt. Jag har sagt endast, att man söker tröst i vetenskapen, men har icke funnit den, därför att vetenskapen representerar icke ensamt den andliga kulturen. Man har gått till kyrkan och fått ingenting, man har gått till skolan och fått även där för mycket av enbart intellektualism. Man har gått till det praktiska politiska livet och fått stenar i stället för bröd. Till sist har man funnit, att det som regerade allt var våldet, kniven på strupen, ytterst det beväpnade våldet mot obeväpnade.</w:t>
        <w:br/>
        <w:br/>
        <w:t>Då det dock finns en andlig kultur, skulle man väl tro, att den skulle vara det ankare, genom vilket världen en gång kunde upphöra med vinddrivningen och söka komma till någon ro. Men man frågar: anser man icke att kyrkan bör bibehållas? Jag har därför trott, att det måste vara en samhällets angelägenhet, att det finnes själavård och karaktärsdaning. Om man vill utan vidare avskaffa statskyrkan, därför att den blott är en torr gren på livets träd, har därmed jämväl avskaffats en princip, som säger, att staten skall ägna sig även åt själavård. Det är detta som är farligt. Därför, när man går att avskaffa statskyrkan, måste samtidigt någonting annat komma till i stället för statskyrkan som är identisk endast med sin lära. Professorn inom teologiska fakulteten vid Uppsala universitet, Myrberg, predikade år 1891: ”Den till gudaktighetens form utan gudaktighetens kraft förbytta kristendomen, den må kalla sig med vad namn som helst, luthersk eller reformert, romersk eller grekisk, det gör ingenting till saken, är ett tomt skal utan kärna.” Den giver oss</w:t>
        <w:br/>
        <w:br/>
        <w:t>det är det, som det hänger på att människorna måste förstå, att de måste ena sig om ett mänskligt verk också och det går icke, utan att det andliga får ledningen över det materiella. Det är detta jag känner så djupt, och då vi kivas här om alla möjliga andra saker, bli våra strider utan något större resultat för skapandet av det stora framtida riket. Då kan man hava verklig anledning att söka treva sig fram till någonting annat.</w:t>
        <w:br/>
        <w:br/>
        <w:t>För övrigt, att tala om att hela folket tillhör den rena evangeliska läran är ett spektakel. Huru många är det, som tillhöra denna lära. Jag tillhör den evangeliska läran, och först för en månad sedan såg jag efter vad det betyder, ty det hade jag icke någon aning om, och då fick jag veta en del kuriositeter. Då fick jag exempelvis veta, att det athanasianska symbolum, så vitt jag förstår, är ett ordsvall om treenigheten, som ingen nutida människa har den ringaste förståelse om vad det betyder. Och så säger detta symbolum, att den som icke tror på detta, han kan icke bliva salig. Det tycker jag är att gå för långt. När biskop Personne yrkade på att detta symbolum skulle uteslutas ur bekännelseskrifterna fick han ett bleklagt nej av kyrkomötet.</w:t>
        <w:br/>
        <w:br/>
        <w:t>Men det finnes en ljuspunkt i detta mörker. Enligt grundlagens bud måste nämligen statsrådets medlemmar verkligt tillhöra den rena evangeliska läran, och då veta vi, att bland oss arma syndare här i kammaren åtminstone herrar Sandler och Örne, som äro medlemmar av ministären, bliva saliga.</w:t>
        <w:br/>
        <w:br/>
        <w:t>Vad intellektualismen angår, har jag icke sagt, att den är förkastlig. Den sista ärade talaren sade, att den behövs i synnerhet nu, då vi veta att det är så mycket som går på tok. Då svarar jag, att intellektualismen rår icke på dessa missförhållanden, ty därtill kräves den fråga, som rör viljans omdaning. Med intellektualismen har man vunnit större bildning, mera klokhet i både ont och gott, än om man fått mindre bildning. Det blir hela resultatet. Vad har det exempelvis blivit av den nutida skolans ”begåvningar”, de, som fått högsta betygen för minneskunskap och teknisk färdighet och blivit ”bildade” med åsidosättande av viljans fostran, som är av så stor betydelse i och för skapandet av en bättre samhällsordning. Ha de skänkt samhället visare lagar, rättvisare domare och ett rikare kärleksliv? Nej, ingalunda. ”Större delen har åter befordrats till makt och myndighet, som de säkerligen oftast utnyttjat till att med skolad dogmatik hålla statskyrkan fjärran från kristendomens</w:t>
        <w:br/>
        <w:br/>
        <w:t>- grundtankar, till att i lagstiftningen med talang gynna makten för dagen</w:t>
        <w:br/>
        <w:br/>
        <w:t>och intressena och slå dövörat till för samvetena, till att i rättsskipningen skarpsinnigt finna utvägar för formerna att förkväva den verkliga rätten, till att kunnigt gå förnämiteternas och egennyttans tvetydigaste ärenden, till att med stöd av sina insikter sätta i gång världskrig och andra nattsvarta dåd co. s. v.”</w:t>
        <w:br/>
        <w:br/>
        <w:t>Det behövs något mera än dessa teoretiska kunskaper för att skapa ett nytt samhälle.</w:t>
        <w:br/>
        <w:br/>
        <w:t>Jag kommer icke att begära votering.</w:t>
      </w:r>
    </w:p>
    <w:p>
      <w:pPr>
        <w:pStyle w:val="Heading2"/>
      </w:pPr>
      <w:r>
        <w:t>3. Karl August Nilson (Liberala samlingspartiet, man)</w:t>
      </w:r>
    </w:p>
    <w:p>
      <w:r>
        <w:rPr>
          <w:b w:val="0"/>
        </w:rPr>
        <w:t>I likhet med de ärade talarna på Norrlandsoch Jönköpingsbänkarna har jag med största intresse läst herr Lindhagens motion. Den ger uppslag till många tankar och jag liksom särskilt biskop Bergqvist finner det vara ett glädjande symtom, då man tänker sig ursprunget till herr Lindhagens motioner. Det är därför med beklagande jag konstaterar, att utskottet icke kunnat finna någon möjlighet att gå herr Lindhagen tillmötes, vare sig i fråga om denna eller någon annan av dessa motioner. Det förklaras att här saknas ett positivt yrkande, och detta är ett tillräckligt skäl för att yrka avslag; men jag säger än en gång, att jag måste beklaga att vare sig herr Lindhagen talar om samvetsfriden eller om den ekonomiska och materiella friden på jorden, utskottet icke ansett sig kunna understödja honom. Det hade varit önskligt om något kunnat göras; men det är naturligtvis inte möjligt med den formulering, som motionen erhållit. Emellertid vill jag icke heller gå frågan alldeles förbi utan att trycka på ett par saker.</w:t>
        <w:br/>
        <w:br/>
        <w:t>Herr Lindhagen har så vackert framfört sina åsikter rörande, såsom en talare sade, den sociala etiken såsom ägande samband med kristendomen, och det är detta, som jag å ena sidan finner vara vackert och även beundransvärt framfört men å andra sidan vilseledande, ty kristendomen är icke social etik, och social etik är framför allt icke kristendom. Kristendomen är något helt annat, och det är detta som herr Lindhagen går förbi. Då han jämför de andra religionsstiftarna med Kristus och ställer dem på samma plan, måste man säga, att han tager miste, ty Kristus och hans religion är något alldeles särställt, som icke kan jämföras med det andra. Kristus talade om hjärtats omdaning till kärlek och god vilja, men de andra tala om viljans danande av egen kraft, och de sakerna kunna icke jämföras. Men herr Lindhagen har rätt i vad han i nu avhandlade motion säger om att kristendomen borde komma till livslevande användning inom staten. Det är detta önskemål herr Lindhagen vill främja, men om den väg han vill gå, kan han — det säger han själv — icke giva anvisning. Kyrkan är, såsom han säger, kristendomens målsman här i landet, i vilket avseende han jämställer kyrkan med församlingen, men det är detta som är vilseledande. Kyrkan är icke detsamma som kristendomen i den mening nya testamentet vill göra gällande. Emellertid vill jag liksom föregående talare påpeka, att vad som är nödvändigt för att få fram den goda tanke, som herr Lindhagen här framfört, är naturligtvis att kyrkan skiljes från staten, men jag vill icke såsom herr Lindhagen tyckes mena, att yrkande göres, att man helt enkelt skall taga bort statskyrkan utan att sätta något annat i stället. Alla som tala om kyrkans skiljande från staten utgå från att kyrkan, d. v. s. de sammanslutningar, som nu hava sina hemwist inom murarna av de tempel, som finnas, skulle fortsätta att verka för kristendomens spridande och den kristna lärans förkunnande, men det är icke detsamma som att taga bort alltsammans. Jag håller bestämt på detta, ty det enda riktiga är, att församlingen skall vara något av staten oberoende; den får</w:t>
        <w:br/>
        <w:br/>
        <w:t xml:space="preserve">icke vara beroende av statens målsmanskap, och i detta fall vill jag påpeka något som för endast några dagar sedan tilldragit sig, då Sverige besöktes av en kyrkans man från Amerika, dr Brandelle, en ledare av den svenska, kyrkliga rörelsen i Amerika: Augustanasynoden. Han uttalade några märkliga ord, som jag skall be att få anföra här, då de tydligen fastställa, att det i Amerika rådande systemet med kyrkans skiljande från staten endast har medfört goda resultat. ”Jag anser”, säger dr Brandelle, ”att män, som kanske inte ha det ringaste intresse för kyrkan och dess förkunnelse, inte heller böra få bestämma i </w:t>
      </w:r>
      <w:r>
        <w:rPr>
          <w:b/>
        </w:rPr>
        <w:t>hennes²</w:t>
      </w:r>
      <w:r>
        <w:rPr>
          <w:b w:val="0"/>
        </w:rPr>
        <w:t xml:space="preserve"> angelägenheter. Kyrkan bör sköta sitt, staten sitt. Kyrkan har åtminstone inte i Amerika något behov av statens stöd. När man får lita till sig själv, går det ju alltid bäst. Så tänka alla de kristna samfunden i Förenta staterna, och det är inte värt, att staten försöker få ett ord med i laget i deras angelägenheter, för då smäller det! Staten gör nog försök då och då, men den möter som sagt det mest bestämda motstånd och måste giva vika. Kyrkan har sina spridda krafter samlade och håller sig i förhållande till staten helt för sig själv. Och detta sakernas tillstånd är utan tvivel det för kyrkan lämpligaste.” ”Beträffande karaktärsdaningen” — warom i dag särskilt varit fråga — fortsätter herr Brandelle, ”är jag övertygad om att det amerikanska folkets moraliska nivå står lika högt som här. Amerika har inte förlorat karaktären av ett kristet land. I själva verket är kristendomen där en väldig makt. Det skulle t. ex. vara något absolut enastående, att en person i ansvarsställning, en högre ämbetsman e. d. uppträdde och förklarade sig avogt stämd gent emot de kristna eller gjorde sig till tolk för något som stode i strid med kristendomen eller kristlig ordning. Om någon vågade detta, skulle det vara slut med hans karriär nästan ögonblickligen. En kandidat till ett högre ämbete skulle icke ha de ringaste utsikter att bli vald. Även de, som inte äro kristna, respektera ändock kristendomen. Den är, som sagt, en väldig samhällsmakt.”</w:t>
        <w:br/>
        <w:br/>
        <w:t>Jag anför dessa ord såsom belägg på, att vad som hjälper kyrkan i dess arbete är icke, som den ärade talaren på Norrlandsbänken gjorde gällande, fasthållande vid staten, utan det är samlandet av de enskilda krafter, som kunna sättas i verksamhet, såsom herr Bergqvist så vackert skildrade, då han talade om firandet av en kyrklig högtid i Skellefteå landsförsamling. Då står sig kyrkan bättre än genom förbindelse med staten.</w:t>
        <w:br/>
        <w:br/>
        <w:t>Till herr Lindhagen skulle jag vilja rekommendera att vid ett annat tillfälle tänka efter, huruvida de åtgärder, han nu förordar, äro rätta vägen för uppnående av det mål, herr Lindhagen vill vinna.</w:t>
        <w:br/>
        <w:br/>
        <w:t>Något yrkande har jag icke att framställa.</w:t>
        <w:br/>
        <w:br/>
        <w:t>1) att en mellanfolklig rättsordning och förekommandet av nya världskrig vilade nu icke minst därpå, att den vita rasen gottgjorde sina oförrätter mot de färgade raserna, särskilt den gula rasen;</w:t>
        <w:br/>
        <w:br/>
        <w:t>2) att i anslutning till ett sådant åskådningssätt den vita rasen borde i synnerhet:</w:t>
        <w:br/>
        <w:br/>
        <w:t>a) avstå från sina obehöriga självtagna privilegier och exploateringar av andra folkslag och deras territorier ;</w:t>
        <w:br/>
        <w:br/>
        <w:t>b) erkänna de andra rasernas likaberättigande och ingå i vänliga förhandlingar därom för att söka övervinna de svårigheter, som kunde möta ur den vita arbetareklassens synpunkt med hänsyn till de skilda levnadsbehoven ;</w:t>
        <w:br/>
        <w:br/>
        <w:t>c) med medkänsla söka förstå de färgade rasernas, särskilt den gula rasens, svårigheter på grund av stor trångboddhet mångenstädes samt tillerkänna dessa raser de möjligheter till nya bosättningar, som tillkomme dem med lika rätt som den vita rasen; (därvid borde även överläggningen eventuellt förekomma rörande befolkningsökningens problem och jordens möjligheter att rymma en växande befolkning) ;</w:t>
        <w:br/>
        <w:br/>
        <w:t>d) erkänna med tacksamhet, att västern särskilt nu hade mycket att inhämta från österns gamla själsliga kultur, samt att problemet för en lycklig samverkan också kunde formuleras så, att det gällde en sammansmältning mellan österns djupare anda och västerns mäktigare materia.</w:t>
      </w:r>
    </w:p>
    <w:p>
      <w:pPr>
        <w:pStyle w:val="Heading2"/>
      </w:pPr>
      <w:r>
        <w:t>4. Carl Lindhagen (–, man)</w:t>
      </w:r>
    </w:p>
    <w:p>
      <w:r>
        <w:rPr>
          <w:b w:val="0"/>
        </w:rPr>
        <w:t>Nu nalkas vi äntligen vad som till och med kamrarnas ledamöter borde kunna kalla verklighetens fasta mark. Denna verklighet är även högst betydande, vadan jag, herr talman, på denna punkt kommer att begära votering. Det är fråga om det världspolitiska förhållandet mellan den vita och de färgade raserna, enkannerligen den gula rasen. Jag hade tänkt att, om denna motion kommit fram för sig och man haft mera tid på sig, få ägna saken särskild uppmärksamhet. Nu får jag endast något dröja vid några huvud-</w:t>
        <w:br/>
        <w:br/>
        <w:t>punkter och hänvisar i övrigt till motionens innehåll jämte dess bilagor, där saken är utförligare framställd.</w:t>
        <w:br/>
        <w:br/>
        <w:t>Jag skall då först betona, att denna fråga är oerhört viktig för världsfreden och således även för vår fred. Den har ock förekommit i nationernas förbund, där den blivit framförd av de japanska delegerade och kommer framdeles av Asiens folk aldrig att släppas. Saken måste också intressera oss, om vi verkligen skola föra rättens talan inom nationernas förbund och andra internationella församlingar och icke bara uppträda såsom tvehågsna efterföljare efter de mäktiga i världen.</w:t>
        <w:br/>
        <w:br/>
        <w:t>Den svenska allmänheten har i allmänhet icke något begrepp om denna sak. Jag har icke sett något förnuftigt ord därom i tidningarna mer än en liten halvgången ansats i Aftonbladet, som hade en del erinringar häromdagen i en ledare, som erkände sakens betydelse. Utskottet har även i detta utlåtande till skillnad från de övriga medgivit, att det är en särdeles viktig angelägenhet, varför jag väl får framföra min tacksamhet till utskottet. Inom pressen kan icke diskussion erhållas i dylika, verkligt viktiga utrikespolitiska frågor, ehuru pressen är folkets politiska uppfostrare och leder jämväl riksdagsmännen som vattubäckar. Pressen har därför bagatelliserat även denna sak, och det hade kanske då varit bättre, om den aldrig tagit befattning med frågan. Denna har nämligen icke fått någon annan behandling än i spaltparaden, det är där man i dylika ämnen finner den wvägledning, varigenom den svenska allmänheten skall uppfostras till sann insikt. Jag har fått mig tillställda några prov på pressens sätt att bibringa folket upplysning i denna fråga, utgörande bilder som föreställa Lindhagen dansande med någon zulukaffer med måttligt fikonalöv på sig samt med de mest föraktliga ord därinunder. Det var hela inlägget. Om det vore någon humor häruti, kunde det anses förlösande, men då det hela beror på dumhet, är det något för starkt, att detta är den enda uppfostran, som svenska folket får av pressen i sådana här viktiga saker.</w:t>
        <w:br/>
        <w:br/>
        <w:t>Emellertid har jag lyckats upptäcka, att en internationell raskongress år 1911 ägde rum vid universitetet i London, varvid såsom en honnörsvakt uppbådades en mängd namn på stora och små europeiska notabiliteter. Kongressens uppgift var verbaliter följande: ”att diskutera i vetenskapens och det moderna rättsmedvetandets ljus de allmänna förhållanden, som bestå mellan västerns och österns folk, mellan s. k. vita och s. k. färgade folk, i syfte att befrämja mellan dem ett fullt samförstånd, de mest fredliga känslor och en hjärtligare samverkan”. Vad som menas med ett modernt rättsmedvetande, förstår jag icke. Men det står i alla fall så. Såsom svenska medlemmar av nämnda honnörsvakt finner man under olika hedersrubriker upptagna:</w:t>
        <w:br/>
        <w:br/>
        <w:t>baron Bonde på Eriksberg, riksdagsman J. Bromée i Billsta, professor Om förhållan- Pontus Fahlbeck, baron Louis de Geer, professorerna Rudolf Kjellén dal mellawden a sö ö 5 or vita och de och P. E. Liljequist, dr N. A. Nilsson i Örebro, professorerna Otto firgade ra- Nordenskjöld och Vitalis Norström, biskop G. von Schéele, professor = serna. 3ustaf Steffen och riksdagsman Edvard Wavrinsky. (Forts.) Om pressen verkligen här skulle fullgöra sin plikt så, som den hitintills fattat den, skulle väl också dessa herrar framställas dansande med någon urinnevånare, skyld av måttliga fikonalöv, så att den svenska allmänheten finge en riktigt mångsidig upplysning om den sak, som här är i fråga. Men det kan ju vara fara värt, att allmänheten då fattade någon misstanke om, att något ligger under saken, eftersom så många framstående män låtit uppbåda sig för att slå vakt om en kongress för åstadkommande av bättre samförstånd mellan den vita och de färgade raserna. Jag är visserligen glad, att kunna bidraga då och då till de personers uppehälle, som skriva i ”spaltparaden”. De få kanske en femma för sitt besvär; på detta sätt är i alla fall ett gott verk gjort beträffande dessa människors uppehälle. Men nog tycks det, att den svenska allmänheten kunde erhålla en bättre uppfostran i dessa vitala frågor. FEljest kanske vi en vacker dag vakna upp ur sömnen till döds och finna, att det brinner i knutarna samt få samma upplevelse och skådespel, som vi hade under världskriget. När Tagore var här — jag nämner det därför att jag förmodar att de flesta icke läst motionen — delade han ut ett litet flygblad, som skulle innehålla en rekommendation för hans universitet i Indien. I själva verket var det i huvudsak en skildring av Asiens uppvaknande, detta oerhörda världshistoriska fenomen, som reser sig såsom Himalaja över den europeiska politiken. Han talar där med milda tonfall om, hur östern och västern borde finna varandra. Men mitt i dessa milda östanfläktar inblandas också ett dovt tonfall, liksom en lågt mullrande åska: västern får icke i förblindad tilltro till sin skenbara oövervinnelighet vara oförnuftig, och den erinras gåtfullt om historiens fruktansvärda överraskningar. Ja, den överraskning varom han talar kan ligga över oss när som helst, och i spetsen gå de bäst rustade och målmedvetna: den japanska statskonsten och den indiska nationalismen. Kina kommer förr eller senare. Det kinesiska folket synes vara ett folk med inåtvänd blick, ännu icke vaket intresserat av att vända den utåt. Men det kommer med också förr eller senare, det är österns ofta betonade övertygelse. Vad gäller nu frågan? Den är främst en materiell och ekonomisk fråga, det är österns lanthunger som är det avgörande momentet. Uti de skrifter härom som komma från de asiatiska folken och särskilt Japan finna vi, att den återkommer oupphörligen denna livsfråga. Dessa tätt befolkade länder, såsom Japan, Kina, Indien, uppvisa en ofantlig folkökning. I Japan ökas befolkningen med minst 800,000 människor om året. Dessa måste leva och bo någonstädes. Men vad säger den vita rasen härtill? Icke i Asiens kolonisationsområden, icke till någon del i Sibirien, detta land, som av östern kallas för den gula rasens Elsass- Lothringen. Och då man sålunda förbjuder östern att söka sin utkomst</w:t>
        <w:br/>
        <w:br/>
        <w:t>Om förhållan-i Asien, måste den vända sig till Stilla Oceanens länder, till Nya Zee-</w:t>
        <w:br/>
        <w:br/>
        <w:t>det mellan den vita och de färgade raserna. (Forts.)</w:t>
        <w:br/>
        <w:br/>
        <w:t>land och Australien, södra och norra Amerika och slutligen också Afrika. Även här säger den vita rasen: nej! Det återstår då för den gula rasen endast en ständigt vidgad industri, som söker underbjuda den vita rasens industri på dess egna marknader eller ock — ett världskrig. Detta är österns oavlåtliga erinringar till västern. En indier, en kines eller en japan har icke några rättigheter i de europeiska kolonialländerna. Inom Sydafrikas förenta stater är det t. ex. förbjudet för österlänningen att köpa jord. På många ställen är det honom förbjudet att ingå äktenskap med vita, att driva industri och handel. På hotell, förlustelseställen och vid kommunikationerna o. s. v. finner man oftast tillkännagivandet: ”endast för européer”. Kan man tänka sig något verksammare medel för åstadkommande av ett nytt världskrig än detta ”endast för européer”? Europa har lagt beslag på världens förnämsta kolonisationsländer. Det har fordrat utrymme för sin befolkning, men det säger åt den gula rasen: detta är bara för oss, icke för eder! Det blir världskrig av sådan imperialism.</w:t>
        <w:br/>
        <w:br/>
        <w:t xml:space="preserve">Nu sitta även vi i nationernas förbund likaväl som Japan och Kina. Japan för där tills vidare Asiens talan samt har väckt fråga om att likställighet skulle införas för de olika raserna inom förbundet och vill hava in detta i förbundsakten. Nej, svarade européerna. Jag undrar, vilken roll de svenska delegerade intogo härvid och vad de komma att intaga för ställning, när saken i växande tempo kommer att föras fram inom förbundet. Vi ha rätt och plikt att intressera oss för denna fråga. Om jag haft bättre tid, skulle jag här citerat de förhandlingar, som ägde rum, när Sverige anslöt sig till nationernas förbund, och när statsmakten beslöt den förfelade reformen, kallad parlamentarisk kontroll på den svenska utrikespolitiken. Då var man emellertid stor i orden: Sverige skulle rycka in i mänsklighetens intresse, det skulle rycka in i förbundet för att bättra upp detsamma, det skulle jämte övriga små nationer gå i spetsen för rättstankarna. Men huru har det blivit? Vi äro klenmodiga och töras ingenting. Jag förstår väl, att i sådana förhandlingar man icke får köra huvudet i väggen. Men i alla fall kan man fogsamt lirka fram sanningen och föra dess talan. Vi förde icke sanningens talan, då det var fråga om erkännande av </w:t>
      </w:r>
      <w:r>
        <w:rPr>
          <w:b/>
        </w:rPr>
        <w:t>systerfolken²</w:t>
      </w:r>
      <w:r>
        <w:rPr>
          <w:b w:val="0"/>
        </w:rPr>
        <w:t xml:space="preserve"> i Estland, Lettland och Lithauen. Vi sade, att vi voro intresserade för dem, men förrän Paris och London sagt sitt ord, kunde wi icke säga ja. Men så ändrades kursen i Paris och London, och åtta dagar därefter, tror jag, voro vi färdiga att erkänna dessa tvenne länder. Lithauen var kvar och fick icke något erkännande. Men så kom, liksom genom ett under, förra hösten det lilla Schweiz och gjorde vad vi icke vågade. Man blev överraskad i utrikesdepartementet och följde slokande efter, fast icke Paris eller London sagt sitt ord. Stackars gamla Swverige !</w:t>
        <w:br/>
        <w:br/>
        <w:t>Nu erkänner utskottet, att detta är en mycket stor och aktuell fråga. Men utskottet anser, att det icke kan vara lämpligt att riksdagen, såsom motionären föreslår, gör framställning till regeringen om</w:t>
        <w:br/>
        <w:br/>
        <w:t>en diplomatisk aktion i frågan. ”Det måste befaras”, säger utskottet, Om förhållan- ”att en sådan åtgärd från vårt land, som ej har några egna direkta dot mellan Få intressen i förevarande hänseende, icke skulle medföra åsyftat resultat, färgade ra utan snarare uppfattas såsom en ovälkommen och opåkallad inbland- — serna. ning i de länders förhållanden, för vilka rasfrågan utgör ett lika ömtå- = (Forts.) ligt som aktuellt problem.” Ja, detta kan man förstå ur gammal riksdagspolitiks ståndpunkt, och man kan förstå det särskilt för tiden, innan vi gingo med i nationernas förbund, ty vi hade då mindre anledning att blanda oss i dylika angelägenheter. Men nu äro vi inbjudna deltaga i storpolitiken och att skapa fred i världen. Våra politici hava förespeglat oss, att vi här just skola spela en roll för att förverkliga rätten. Vad är då detta för svar, som utskottet ger på dessa föresatser och förpliktelser? Raka motsatsen. Tro herrarna för övrigt, att man icke kan göra påminnelser — icke bryskt och befallande, ty det har man icke befogenhet eller makt till — men påminnelser, varigenom man fogligt och på samma gång ståndaktigt i allas och eget intresse för fram en sådan rättstanke som denna? Det är klart att det är den enda väg, på vilken vi kunna göra oss gällande. Om vi föra fram rättstankarna är det något, som ingen kan överfalla oss för. Rätten är oantastlig, den är en stormakt, varhelst den manifesterar sig.</w:t>
        <w:br/>
        <w:br/>
        <w:t>Så står det till slut i utskottets betänkande: ”I varje fall lärer endast regeringen vara i stånd att bedöma, om och när en insats från svensk sida kan hava utsikt att främja de syften motionären avser.” Detta är utskottets svar på förespeglingarna om parlamentarisk kontroll på utrikespolitiken. Där ser man, vad som blivit av densamma.</w:t>
        <w:br/>
        <w:br/>
        <w:t>Vid olika tillfällen har jag tillåtit mig framhålla nödvändigheten av parlamentariskt och folkligt inflytande på utrikespolitiken samt väckt motion om ändring av det nuvarande misslyckade tillståndet i detta avseende. Utrikesnämnden är vorden ett fäste mot detta inflytande. Jag har emellertid upptäckt, att det finnes en annan utrikesstyrelse, som är kanske ännu mäktigare, och som de flesta sannolikt icke hava reda på. Det tillsattes 1918 av regeringen en kommitté för att tillgodose de neutralas intresse, och denna kommitté blev sedan ombildad till ”kommittén för behandling av frågor rörande folkens förbund”. Denna kommittés medlemmar och sekreterare äro i huvudsak samma personer, som regeringen brukar utse till delegerade vid folkförbundets möten i Genéve. När det gällde upprättande av instruktioner för dessa delegerade, remitterades saken till denna kommitté, som sålunda uppgör instruktioner för sig själv. Regeringen antager förslaget, och så går denna kommittés medlemmar med dessa instruktioner till Geneve. Dessa instruktioner äro en hemlig handling. 1920 begärde jag genom en skrivelse till regeringen, att instruktionen skulle publiceras, men det resolverades, att min framställning ”icke förtjänade avseende”. Jag har sedan i utrikesdepartementet gjort förfrågningar, om vilka instruktioner nu sist varit utfärdade, men fått till svar, att kommitténs betänkande därom liksom regeringens beslut är en hemlig handling.</w:t>
        <w:br/>
        <w:br/>
        <w:t>Således, några personer sitta i en kommitté och upprätta en hemlig</w:t>
        <w:br/>
        <w:br/>
        <w:t>det mellan den vita och de färgade raserna. (Forts.)</w:t>
        <w:br/>
        <w:br/>
        <w:t>till Geneve för att representera ”Sverige”, utan att vare sig folk eller riksdag och säkerligen knappast ens regeringen får något inflytande på dem. Det tjänar icke någonting till att förarga sig över detta, ty vi leva ju ännu i en politisk stenålder, och då bli verktygen därefter. Men nog är det märkligt, att det förhåller sig på detta sätt. Förra året föreslog riksdagen i en skrivelse till Kungl. Maj:t, att nationernas självbestämningsrätt borde upptagas såsom internationell lag. Enahanda förslag väcktes av nordiska interparlamentariska förbundets delegerademöte hösten förut. Riksdagsskrivelsen remitterades till kommittén, och denna svarade bara, att saken var viktig men svår att avgöra, vadan hemställdes, att riksdagens hemställan, ”åtminstone för närvarande”, icke skulle föranleda någon åtgärd. Följden blev, att regeringen den 29 augusti 1921 intresselöst slopade riksdagens skrivelse rörande en sak, för vilken det kämpats här i riksdagen under tio år. När frågan om nationernas självbestämningsrätt såsom grundval för en rättsordning kan så hastigt avfärdas, vad skall då kunna väntas av regeringen i fråga om rasernas likställighet?</w:t>
        <w:br/>
        <w:br/>
        <w:t>Av alla dessa skäl har jag ansett, att riksdagen bör kunna bestå sig med en egen mening, och får därför, herr talman,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