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438</w:t>
      </w:r>
    </w:p>
    <w:p>
      <w:r>
        <w:rPr>
          <w:b/>
        </w:rPr>
        <w:t xml:space="preserve">Datum: </w:t>
      </w:r>
      <w:r>
        <w:t>1922-05-24</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mina herrar! Jag skall be att få yttra några ord i denna punkt.</w:t>
        <w:br/>
        <w:br/>
        <w:t>Utskottet anmärker först, att såväl överståthållarämbetet som länsstyrelsen i Uppsala län avsyrkt Aleksandrows ansökning om erhållande av svensk medborgarrätt. Då jag det oaktat hemställde, att Kungl. Maj:t ville bifalla ansökningen, i vilket avseende jag icke överskridit min lagliga befogenhet, då ju de i lag föreskrivna förutsättningarna för vinnande av medborgarskap i detta fall ostridigt voro för handen, handlade jag — därom ber jag Eder, mina herrar, vara övertygade — i överensstämmelse med min uppfattning om vad rättvisa och billighet i detta fall krävde.</w:t>
        <w:br/>
        <w:br/>
        <w:t>Att nu i detalj redogöra för förevarande fall torde icke gärna kunna komma i fråga. Det skulle betyda ett referat av alla till ärendet hörande, ganska vidlyftiga handlingar. En kortfattad sammanfattning av dessas innehåll återfinnes ju förresten i konstitutionsutskottets betänkande. Jag vill därför inskränka mig till att i vissa punkter komplettera de i detta betänkande innehållna, i viss mån något knapphändiga upplysningarna samt söka klargöra de huvudskäl, på grund av vilka jag ansåg mig böra tillstyrka Kungl. Maj:t att upptaga Aleksandrow till svensk medborgare.</w:t>
        <w:br/>
        <w:br/>
        <w:t>De flesta, som något följt med detta ärende utan att dock närmare sätta sig in i detsammas detaljer, torde ha fått den uppfattningen, att Aleksandrow varit av uteslutande rysk extraktion, som erhållit rysk uppfostran, samt dessutom en person av utpräglad politisk läggning. Så är dock ej förhållandet, på sätt torde framgå av följande påpekanden.</w:t>
        <w:br/>
        <w:br/>
        <w:t xml:space="preserve">Aleksandrow var väl före sitt upptagande till svensk medborgare formellt sett rysk, men i realiteten var han mer att betrakta som svenskfinne. Han var född i Finland, där hans fader var bosatt vid tiden för hans födelse; hans </w:t>
      </w:r>
      <w:r>
        <w:rPr>
          <w:b/>
        </w:rPr>
        <w:t>mor²</w:t>
      </w:r>
      <w:r>
        <w:rPr>
          <w:b w:val="0"/>
        </w:rPr>
        <w:t xml:space="preserve"> var svensk-finländska, och han har tillbragt hela sin uppväxttid i Finland, främst i Hälsingfors, nämligen alltifrån sin födelse år 1886 och intill dess att han vid tjugu års ålder avlade studentexamen i Hälsingfors. Sedan han därefter dels idkat medicinska</w:t>
        <w:br/>
        <w:br/>
        <w:t>redan i oktober 1910 — alltså för snart tolv år sedan — till Sverige. Anledningen till hans överflyttning var den, att han misstänktes — men</w:t>
        <w:br/>
        <w:br/>
        <w:t>medborgare. Sedan helt frikändes — för socialdemokratisk propaganda bland den</w:t>
        <w:br/>
        <w:br/>
        <w:t>I Sverige har han alltsedan dess vistats, frånsett ett par kortare uppehåll i Ryssland, dels såsom följeslagare till en uppsaliensisk affärsman, dels såsom tolk vid avdelningen B av den svenska legationen i Petrograd. Hans avsikt hade varit att här i Sverige fortsätta sina medicinska studier. Denna tanke uppgav han dock, då hans i Dorpat avlagda medicine kandidatexamen ej godtogs här i Sverige. På förslag av professor Lundell, då professor i slaviska språk vid Uppsala universitet, slog han sig då i stället på slaviska studier. I december 1910 fick han Kungl. Maj:ts tillstånd att inskrivas vid Uppsala universitet. Vid Uppsala var han sedan bosatt ända till september 1915, alltså i fem år. Under denna tid gifte han sig med en svenska samt avlade filosofie kandidatexamen. Därjämte var han från våren 1912 till våren 1916, alltså under fyra år, anställd som biträdande lärare i ryska språket vid universitetets seminarium för slaviska språk. Från hans Uppsalatid torde icke ens hans värsta belackare kunna uppspåra något det minsta ofördelaktigt att säga om honom. Magistraten i Uppsala har ock i avgivet utlåtande förklarat, att under Aleksandrows vistande i Uppsala intet mot honom förekommit, som skulle kunna utgöra hinder för ansökningens förordande till bifall. De intyg, Aleksandrow åberopar om sin verksamhet i Uppsala, äro också synnerligen lovordande. Så intygar bl. a. professor Lundell, att A. under sin uppsalatid fört en i allo hedrande vandel. Och docenten, sedermera professorn Agrell säger bl. a.: ”Den insats, som han (Aleksandrow) gjort i det svenska universitetslivet både såsom nitisk lärare i ryska och såsom uppburen kamrat bland Uppsalastudenter, har säkert varit av varaktig betydelse för mer än ett decenniums studerande ungdom. Av särskild vikt har varit den förståelse för svensk kultur, som kand. Aleksandrow samtidigt sökt väcka hos den ryska allmänheten, och det andliga närmandet mellan två nationer, för vilket han så hängivet arbetat.” Och längre fram i samma intyg heter det: ”Enligt min mening har kand. Aleksandrow genom sin verksamhet i Sverige kommit att bli en viktig faktor, som i det svenskryska samkvämet icke gärna kan undvaras. Och jag anser, att det skulle vara en ackvisition av betydande värde för vårt land, om herr Aleksandrow genom förvärvande av svenskt medborgarskap skulle komma att varaktigt fästas vid Sverige.”</w:t>
        <w:br/>
        <w:br/>
        <w:t>Från slutet av år 19135 har Aleksandrow, frånsett förutnämnda korta uppehåll i Ryssland, varit bosatt i Stockholm. Anledningen till hans överflyttning hit var närmast den, att han blev anställd som ”byråchef” vid härvarande avdelning för ryska röda korset, för vilken plats han ansågs väl passa på grund av sin kännedom om såväl ryska som svenska förhållanden. I övrigt har han under sin Stockholmsvistelse försörjt sig dels genom att grunda en skola för ryska barn, dels såsom</w:t>
        <w:br/>
        <w:br/>
        <w:t>huvudredaktör för den på ryska utkommande Handelsoch Industritidningen ”Skandinawskij Listok”, samt en del andra svensk-ryska publikationer, dels såsom lärare i bl. a. ryska språket vid Stockholms borgarskolas språklinje och dels slutligen genom att ge lektioner i ryska bl. a. till svenska officerare samt genom att lämna biträde på olika håll som tolk och med översättningar. Från dessa olika verksamhetsgrenar har Aleksandrow åberopat intyg från en hel mängd trovärdiga personer. Jag skall emellertid inskränka mig till att citera allenast en del av det intyg, som rektorn för borgarskolan utfärdat. Det heter där bl. a., att Aleksandrow ”fullgjort samtliga dessa uppdrag på ett synnerligen tillfredsställande sätt samt genom sina grundliga kunskaper och sin ovanliga lärarförmåga blivit ett verkligt stöd för borgarskolans arbete på detta område; att det, efter min uppfattning, vore för det ryska språkstudiet i vår huvudstad — vilket torde vara av nog så stor betydelse — särdeles värdefullt, om kand. Aleksandrow kunde här vinna en fastare ställning och därigenom sättas i tillfälle att fortsätta sin gagnande verksamhet”.</w:t>
        <w:br/>
        <w:br/>
        <w:t>Såsom jag nyss nämnde, försörjde Aleksandrow sig även genom att lämna biträde såsom tolk och översättare. Det var denna hans sysselsättning, som fick tjäna till underlag för en del misstankar rörande arten av hans verksamhet här i Sverige, på vilka misstankar överståthållarämbetet och länsstyrelsen i Uppsala län tydligen grundat sina avstyrkande utlåtanden. Aleksandrow blev nämligen av kronofogden Axel Hägg anlitad som biträde vid utredningen av Hadjetlaché-affären. Hägg själv har därom intygat, att Aleksandrow, ”som jag under rannsakningen — — — ofta behövt vända mig till för erhållande av för målets utredning viktiga upplysningar, med anmärkningsvärd beredvillighet och tidsuppoffring oegennyttigt ställt sig till förfogande i sådant avseende”. På grund av denna sin befattning med Hadjetlachémålet blev emellertid Aleksandrow bojkottad av en väsentlig del av den ryska kolonien i Stockholm och måste på grund härav sluta med sin ryska skola. Det var nu, då han såg sig berövad en väsentlig del av sin inkomst, som Aleksandrow, vid sökande av annat arbete, vände sig även bl. a. till dåvarande riksdagsmannen Fredrik Ström i dennes egenskap av rysk konsul de facto. Av denne blev han då anlitad, fortfarande som tolk och översättare, i den omfattning, att han i allmänhet hade sysselsättning på ”konsulatet” några timmar varje dag. Såsom tolk och översättare närvar även Aleksandrow under år 1920 vid Metallindustriarbetarförbundets förhandlingar med en representant från motsvarande ryska förbund Schlapnikov.</w:t>
        <w:br/>
        <w:br/>
        <w:t>Det är nu Aleksandrows förbindelse med det Strömska konsulatet och hans biträde vid nyssnämnda förhandlingar, som främst anförts som skäl för att jag ej bort förorda Aleksandrows upptagande till svensk medborgare. Det heter härom i konstitutionsutskottets betänkande: ”De intima förbindelser med en främmande makts representanter, som en dylik anställning medför, och det beroende av dessa, som härigenom blir en följd, borde enligt utskottets mening föranleda, att</w:t>
        <w:br/>
        <w:br/>
        <w:t>hög grad vara olämpligt, att personer, som i likhet med sökanden hava en så fast anställning hos främmande makts organ här i riket, erhålla de särskilda förmåner och friheter, som det svenska medborgarskapet innebär. Att i detta fall särskild anledning förefunnits att beträffande sökanden utöva den kontroll, som i fråga om främmande lands medborgare är möjlig, framgår även därav, att han under sista tiden endast för korta tidsperioder erhållit passvisum för kvarblivande i Sverige.”</w:t>
        <w:br/>
        <w:br/>
        <w:t>Med avseende å detta utskottets uttalande vill jag framhålla följande. Aleksandrows verksamhet hos herr Ströms ryska konsulat och den ryska handelsdelegationen har enligt hans eget meddelande endast bestått i tolkningsoch översättningsarbete. Handlingarna i ärendet giva ingen anledning till att betvivla sanningsenligheten av dessa Aleksandrows egna uppgifter. De goda vitsord om Aleksandrow, som i de många i ärendet ingivna intygen lämnats av personer, om vilkas vederhäftighet och omdömesgillhet det endast råder en mening, borga enligt min mening för sanningsenligheten av Aleksandrows egna uppgifter i denna del. Är detta förhållandet, synes i den omständigheten, att han hos ryska konsulatet och handelsdelegationen utfört detta tolkningsoch översättningsarbete ej förelegat något hinder för hans upptagande till svensk medborgare. Detta hans arbete utgjorde ju endast en av hans många sysselsättningar och måste, i jämförelse med hans anställning som lärare vid borgarskolan, betraktas allenast som en bisysselsättning. Att han genom detta sitt arbete skulle komma i beroende av den ryska maktens representanter här i Stockholm måste betvivlas, i all synnerhet som den anställning, han innehade hos det Strömska konsulatet vid tiden för hans upptagande till svensk medborgare, måste anses hava varit av ganska lös beskaffenhet.</w:t>
        <w:br/>
        <w:br/>
        <w:t>Den omständigheten, att Aleksandrow i september 1920 frånkändes ”sitt dittills innehavda konstanta pass-visum” på grund av sina förbindelser med representanten för ryska metallindustriarbetarförbundet, kan på intet sätt anses innebära, att dessa förbindelser varit av sådan beskaffenhet, att de bort läggas Aleksandrow till last vid prövning av hans ansökan om svensk medborgarrätt. Allt, som polismyndigheten i detta avseende haft att förmäla, är av den beskaffenhet, att jag ansett det sakna betydelse vid avgörandet av detta ärende. Ingen har kunnat förevita Aleksandrow, att han på något sätt under sin vistelse här i Sverige agiterat i någon politisk riktning. Hans arbete här har inskränkt sig till en omfattande lärareverksamhet samt till att lämna det biträde såsom tolk och med översättningar, som hans ingående kännedom i såväl svenska som ryska språket gjort honom i synnerligen hög grad skickad till. Hans biträde i detta avseende har lämnats till olika håll, alldeles oavsett vederbörandes politiska uppfattning” eller andra hänsyn.</w:t>
        <w:br/>
        <w:br/>
        <w:t xml:space="preserve">Konstitutionsutskottet har slutligen anmärkt, att Aleksandrows äktenskap med sin svenskfödda </w:t>
      </w:r>
      <w:r>
        <w:rPr>
          <w:b/>
        </w:rPr>
        <w:t>hustru²</w:t>
      </w:r>
      <w:r>
        <w:rPr>
          <w:b w:val="0"/>
        </w:rPr>
        <w:t xml:space="preserve"> vid tiden för ärendets avgörande redan var upplöst, och att detta hans giftermål alltså ej varit av be-</w:t>
        <w:br/>
        <w:br/>
        <w:t xml:space="preserve">skaffenhet att tala för bifall till hans medborgarrättsansökan. Jag vill då nämna, att Aleksandrows giftermål med en svenskfödd </w:t>
      </w:r>
      <w:r>
        <w:rPr>
          <w:b/>
        </w:rPr>
        <w:t>kvinna¹</w:t>
      </w:r>
      <w:r>
        <w:rPr>
          <w:b w:val="0"/>
        </w:rPr>
        <w:t xml:space="preserve"> inte för mig varit av någon avgörande betydelse i detta fall. Dock kan jag icke underlåta att påpeka, att enligt våra nuvarande medborgarrättsliga bestämmelser ett barn icke kan upptagas till svensk medborgare under sin minderårighet, samt att enda möjligheten för att Aleksandrows här i riket av svenskfödd </w:t>
      </w:r>
      <w:r>
        <w:rPr>
          <w:b/>
        </w:rPr>
        <w:t>moder²</w:t>
      </w:r>
      <w:r>
        <w:rPr>
          <w:b w:val="0"/>
        </w:rPr>
        <w:t xml:space="preserve"> födda barn skulle kunna före uppnåendet av myndig ålder vinna svensk medborgarrätt var den, att deras fader blev upptagen till svensk medborgare.</w:t>
      </w:r>
    </w:p>
    <w:p>
      <w:pPr>
        <w:pStyle w:val="Heading2"/>
      </w:pPr>
      <w:r>
        <w:t>2. Carl Axel Reuterskiöld (Utan partibeteckning, man)</w:t>
      </w:r>
    </w:p>
    <w:p>
      <w:r>
        <w:rPr>
          <w:b w:val="0"/>
        </w:rPr>
        <w:t>Herr statsrådet började sin apologi med den förklaringen, att han icke hade överskridit sin lagliga befogenhet, då han tillstyrkte Kungl. Maj:t att här bevilja svensk medborgarrätt. Utskottet har icke heller använt $ 106 regeringsformen utan har använt sig av $ 107, fullt erkännande, att någon lagstridig handling från statsrådets sida icke har förekommit. Jag behöver då knappast uppehålla mig vid denna ingress.</w:t>
        <w:br/>
        <w:br/>
        <w:t>Herr statsrådet säger vidare, att han ansåg, att här voro förutsättningarna i lagen fyllda, och det framgick av framställningen som om herr statsrådet menade att därigenom vore all rättfärdighet uppfylld, och att man alltså borde ge Aleksandrow den medborgarrätt, som han sökt. Jag tillåter mig erinra, att den svenska naturalisationslagen i detta avseende allenast angiver vissa villkor och förutsättningar för Kungl. Maj:ts rätt att säga ja. Om någon av dessa icke är förhanden, då har Kungl. Maj:t över huvud taget — det finns dock vissa undantag — icke ens rätt att giva statsborgarskap. Först om och när dessa förutsättningar visas vara förhanden, inträder Kungl. Maj:ts prövningsmakt med hänsyn till lämpligheten, och med hänsyn till lämpligheten skall denna fråga prövas. Gör man det, har man ett ord i denna författning, som också talar om, att naturalisation skall anses vara till rikets nytta. Det kan finnas många fall, då denna synpunkt om rikets nytta spelar mycket liten roll. Med hänsyn till personliga förhållanden kan det vara befogat att giva en utlänning svenskt medborgarskap, även om därigenom icke rikets nytta alldeles särskilt främjas. Men man måste å andra sidan säga, att därest det föreligger det minsta tvivel, huruvida det är för riket skadligt, att en viss naturalisation sker, då måste fordras en bevisning för att denna skada icke kommer att inträffa, eller åtminstone att det icke finnes någon sannolikhet härför. När herr statsrådet talade om, att den ifrågavarande personens beroende av den ryska handelsdelegationen icke var styrkt, då säger jag, att så snart något tvivel om mannens ställning framgår ur handlingarna — och det gör det här på grund av polisrapporten — så föreligger redan ett ovillkorligt krav på att detta tvivel skall till fullo vederläggas. Förrän det skett, föreligger ingen anledning att bifalla en naturalisationsansökan. Det är alldeles motsatsen till vad herr statsrådet förmenat: bevisning fordras ej för misstankens riktighet, utan för dess oriktighet och dessförinnan bör naturalisation ej beviljas.</w:t>
        <w:br/>
        <w:br/>
        <w:t>Herr statsrådet har också uppehållit sig vid den nu naturaliserade</w:t>
        <w:br/>
        <w:br/>
        <w:t>ket starkt betonat dessas utmärkta vitsordande. Jag förstår fullväl, att herr statsrådet därmed icke velat säga, att sökanden hade rätt att bli upp-</w:t>
        <w:br/>
        <w:br/>
        <w:t>medborgare. tagen, utan blott velat betona, att billighetsskälen för beviljande, just</w:t>
        <w:br/>
        <w:br/>
        <w:t xml:space="preserve">med hänsyn till dessa personliga förhållanden, skulle vara så synnerligen starka. När emellertid herr statsrådet t. ex. med avseende på extraktionen framhåller, att sökanden egentligen var svensk-finländare, ber jag gentemot detta få sätta herr statsrådets senare yttrande om hans i Sverige födda barn, att de följde fadern åt. Detsamma bör då få gälla om honom själv också: hans svensk-finländska </w:t>
      </w:r>
      <w:r>
        <w:rPr>
          <w:b/>
        </w:rPr>
        <w:t>moder²</w:t>
      </w:r>
      <w:r>
        <w:rPr>
          <w:b w:val="0"/>
        </w:rPr>
        <w:t xml:space="preserve"> var gift med en rysk undersåte och det var rysk nationalitet han därigenom fick. Vad vidare hans politiska intressen angår, som medtagits i herr statsrådets framställning, tror jag inte att detta har för utskottet spelat någon roll alls. Det har icke varit ur synpunkten av hans personliga kvalifikationer eller diskvalifikationer, som utskottet funnit anledning att här göra anmärkning, utan skälet har — såsom herr statsrådet till sist medgav, fastän han med lätt hand sökte halka över det — varit den förbindelse han faktiskt haft med en främmande makts, om jag icke precis får säga representation, så dock i viss mån medgivna organisation här i riket. Det kan överhuvud taget icke anses lämpligt, särskilt under sådana tider, som vi nu leva i, då allt flyter och befinner sig i rörelse och oro, att till svensk medborgare upptaga en person, som, varande av utländsk extration och nationalitet, står i så nära samband med och arbetar hos denna sitt eget lands organisation här i riket, som i detta fallet är styrkt hava skett. Den punkten är huvudpunkten. Så länge ett sådant förhållande består, finns intet skäl varför man ur rikets synpunkt skall bifalla en naturalisations ansökan. Utskottet anser, att Kungl. Maj:ts rådgivare skola fästa avseende i första och sista hand vid vad rikets nytta kräver, och detta har här icke skett.</w:t>
      </w:r>
    </w:p>
    <w:p>
      <w:pPr>
        <w:pStyle w:val="Heading2"/>
      </w:pPr>
      <w:r>
        <w:t>3. Einar Thulin (Socialdemokraterna, man)</w:t>
      </w:r>
    </w:p>
    <w:p>
      <w:r>
        <w:rPr>
          <w:b w:val="0"/>
        </w:rPr>
        <w:t>Herr talman, mina herrar! På denna punkt ha jag och de socialdemokratiska ledamöterna av konstitutionsutskottet avgivit en reservation och jag skall be att i anledning därav få yttra några ord. Till en början tillåter jag mig att, såsom bakgrund till vad jag kommer att säga beträffande denna speciella sak, anföra några allmännare synpunkter beträffande konstitutionsutskottets granskningsverksamhet med hänsyn till de särskilda förhållanden, som framträtt under detta år.</w:t>
        <w:br/>
        <w:br/>
        <w:t>Konstitutionsutskottets memorial i år innehåller ju i jämförelse med föregående år synnerligen många anmärkningar. Det har redan av herr Lyberg understrukits, att anmärkningarnas antal är högst betydande, och han erinrade om 1840—41 års riksdag, då anmärkningarna voro 73. Jag skulle vilja säga, att anmärkningarna i år rentav äro flera än 1840—41, om man räknar med att granskningen då omfattade fem år; detta år avser granskningen endast ett år. Det är 15 eller, om man räknar likartade fall, 18 anmärkningar i år. Emellertid, granskningen vid 1840—41 års riksdag var ju synnerligen uppseendeväckande och ännu i dag har man livligt i minne det uppseende, som ifrågavarande riksdags konsti-</w:t>
        <w:br/>
        <w:br/>
        <w:t>tutionsutskott väckte med sina många anmärkningar. Nu äro ju anmärkningarna i år icke så uppseendeväckande i den betydelsen, att de väckt något uppseende, och det sammanhänger med, att det alltmera framträtt en olust att göra anmärkningar. Anmärkningsinstitutet har råkat i misskredit, då anmärkningarna numera icke föranleda någon åtgärd. Hela granskningsinstitutet har blivit en tom form, som omges av ärevördiga traditioner. Det är ju ganska ringa behållning av, att ett riksdagens största utskott i veckor och månader uteslutande håller på med granskning av statsrådsprotokollen och i anledning därav yrkade anmärkningar, och det är nog så, att resultatet av detta omfattande och tidsödande arbete föga svarar mot det nedlagda arbetet. För en medlem av konstitutionsutskottet är granskningsarbetet en ganska otacksam uppgift. Man vet på förhand, att anmärkningarna ge föga resultat i politiskt avseende, och knallen av de många lösa skott, konstitutionsutskottet på det sättet avfyrar, kan på sin höjd glädja den, som har något otalt med en sittande ministär, men det blir sannerligen icke till någon glädje för någon, då beskjutningen sker mot en redan hädangången ministär. Men traditionerna måste på grund av bestämmelserna i ämnet upprätthållas, och när nu konstitutionsutskottet, som det ibland kan hända, får en skarp kriticus i sin krets, som vill offra tid på att gå igenom protokollen punkt för punkt, ökas antalet anmärkningar, om han har utskottets öra, eller antalet reservationer, om han befinner sig i minoritet. Ty det är ju uppenbart, att det icke kan möta någon svårighet att bland de bortåt 50,000 ärenden, som förekomma i statsrådsprotokollen, plocka ut ett 20-tal, som kunna befinnas anmärkningsvärda. Alltid är det någon formalitet, som icke blivit iakttagen. Vederbörande kan då vara säker på, att det s. k. konstitutionella ansvaret utkräves. Ju klarare det är, att ett statsråd icke handlat formenligt, desto säkrare kan han vara att få ett enhälligt utskott emot sig. Ty även om en utskottsmedlem aldrig så gärna skulle vilja avhålla sig från att göra anmärkning i känslan av anmärkningarnas betydelselöshet, kan man helt enkelt icke undgå att gå med på en anmärkning, när en bestämmelse blivit överträdd, eller kan anses hava blivit överträdd, även om det skett utan någon som helst skada för saken. En inom konstitutionsutskottet yrkad anmärkning för överträdelse av en form vinner nästan alltid majoritet.</w:t>
        <w:br/>
        <w:br/>
        <w:t>En helt annan grupp av anmärkningar äro de, som förutsätta ett bedömande av en åtgärds lämplighet. I fråga om dessa är det i regel långt svårare att vinna enighet. Den föreliggande anmärkningen hör till denna grupp av lämplighetsfrågor, och prövningen av dessa hör för konstitutionsutskottets medlemmar till det mest besvärliga och jag vill säga obehagliga. Beträffande dylika framträder nämligen hela bristfälligheten i granskningsinstitutet och anordningar för detsamma. Granskningen inskränker sig nämligen till en ren granskning av föreliggande handlingar, och varje inhämtande av upplysningar från dem, mot vilka anmärkning yrkas, anses strida mot hävdvunnen kutym. Utskottet sitter som ett slags politisk domstol, men ett bedömande av frågan i hela dess vidd är omöjliggjort för utskottet, då det endast har handlingarna att</w:t>
        <w:br/>
        <w:br/>
        <w:t>icke funnits angivna i handlingarna, kunna icke gärna komma till utskottets prövning, då utskottet går att fatta sitt beslut. En gammal regel är ju, att man vid ett dömande också skall höra den andra parten, men denna regel tillämpas icke och kan icke tillämpas, så som förhållandena utvecklat sig vid konstitutionsutskottets politiskt dömande verksamhet. Den medlem av utskottet, som påyrkat anmärkningen, framlägger sina skäl för densamma och sitt referat av handlingarna, men motparten, som anmärkningen gäller, kan inte framlägga sina skäl för åtgärden, utan det blir först i kamrarna, som detta kan ske, om ens då. Den, som anmärkningen drabbar, måste nämligen vara medlem antingen av kamrarna eller av den sittande regeringen. Är anmärkningen oriktig, och det kan ju möjligen komma att visa sig vid den debatt, som äger rum, då är skadan redan skedd, och åtminstone denna kammare saknar möjlighet att med gillande eller ogillande lägga en punkt till handlingarna, saknar möjlighet alltså att ogilla en anmärkning, som befinnes vara oriktigt gjord från utskottets sida. En departementschef, som eljest på utmärkt sätt handlagt sitt ämbete, kan genom en dylik anmärkning, som träffar en enda av hans många ämbetsåtgärder, få en klick på sig, som han sannerligen inte gjort sig förtjänt av.</w:t>
        <w:br/>
        <w:br/>
        <w:t>Nu finns det visserligen också anmärkningar, som till sin natur innebära anmärkning på lämpligheten av en åtgärd, men där denna bedömes ur synpunkten av en politisk grupps särskilda åskådning. Till detta slag hör efter min uppfattning den föreliggande. Jag kan icke undgå att göra den reflektionen, att, om ordet kommunist icke förekommit i handlingarna i målet, ingen anmärkning med stor sannolikhet skulle förekommit. Visserligen har herr Reuterskiöld, utskottsmajoritetens talesman, framhållit, att det icke skulle ligga något som helst politiskt intresse bakom den gjorda anmärkningen. Jag vågar emellertid bestrida detta. Vid den föredragning, som ägde rum i utskottet, fick åtminstone jag för min del det bestämda intrycket — och jag tror även åtskilliga kamrater med mig — att för flera av utskottsmajoriteten skulle ingen anledning till anmärkning förelegat, ifall icke Aleksandrow på något enligt utskottsmajoritetens mening komprometterande sätt varit inblandad i den ryska politiken. Från statsrådet Åkermans sida har ju utförligt upptagits de invändningar, som kunna riktas mot den framställda anmärkningen, och herr statsrådet har utförligt uppehållit sig vid Aleksandrows levnadsförhållanden. Jag skall därutöver, i anledning av professor Reuterskiölds anförande, ytterligare belysa det oberättigade i anmärkningen, särskilt med hänsyn till vad herr Reuterskiöld anförde, att vid beviljande av medborgarrätt hänsyn skulle tagas till rikets nytta. Jag vill erinra om, att frågan om ordningen och villkoren för utländsk mans upptagande till svensk medborgare är reglerad av en kungl. förordning av 1858, som utfärdats tillsammans med rikets ständer. I denna stadgas, att svensk medborgarrätt kan vinnas av utländsk man, som uppnått 21 års ålder, ej är på grund av honom ådömd straffpåföljd utestängd från behörighet och rättigheter, som omförmälas i 2 kap. 19 8 strafflagen,</w:t>
        <w:br/>
        <w:br/>
        <w:t>varit boende trenne år i riket och har utväg att sig försörja. Dessa förut- Ang. viss rysk sättningar skola således föreligga för att Kungl. Maj:t över huvud taget SA ortadad skall kunna upptaga en medborgarrättsansökning. Sedermera — och det HN a ensk: vill jag särskilt understryka liksom också herr Reuterskiöld framhållit medborgare. det — är vad som därutöver kan förekomma beroende på Kungl. Maj:ts «(Forts.) diskretionära prövning. Nu har emellertid av herr Reuterskiöld gjorts gällande, att Kungl. Maj:t vid upptagande av en person till svensk medborgare även, om jag inte missförstod honom, är skyldig taga hänsyn till rikets nytta. Så vitt jag kunnat finna, finns ingen bestämmelse om rikets nytta i den omnämnda förordningen i annat sammanhang än i det stycke, som finns sist i första paragrafen, där det nämligen stadgas : ”Har utländsk man, enligt vad i 28 8 regeringsformen medgivet är, blivit 1 rikets tjänst anställd eller har han gjort sig känd för utmärkt skicklighet i vetenskap och konst, eller i lantbruk, bergsbruk eller annan näring, eller finnes hans upptagande till svensk medborgare eljest för riket medföra gagn, då må medborgarrätt även tidigare efter inflyttning i riket, än ovan sagt är, kunna honom beviljas.” Med andra ord: frågan om rikets nytta sammanhänger, så vitt jag förstår, med möjligheten för Kungl. Maj:t att medge hans upptagande till svensk medborgare, innan de tre år äro förflutna, som äro stadgade som allmänt villkor i första paragrafen. Jag vill särskilt ha detta fastslaget: det finns ingenting i bestämmelserna, så vitt jag kunnat finna, om utländsk medborgares upptagande till svensk medborgare, av sådant innehåll, att Kungl. Maj:t vid prövning av ansökan om svensk medborgarrätt skall ta hänsyn till vederbörandes nytta eller gagn för riket. Jag vill således konstatera, att med hänsyn till den omständigheten är åtminstone den argumentering, som anfördes av representanten för utskottsmajoriteten, felaktig.</w:t>
        <w:br/>
        <w:br/>
        <w:t>Det har från utskottets sida gjorts gällande, något som bemötts av statsrådet Åkerman, att Aleksandrow haft fast anställning på ryskt håll. Denna sak har blivit bestridd av reservanterna i konstitutionsutskottet. Det har framhållits från deras sida, som herrarna behagade finna på sidan 80 i konstitutionsutskottets memorial, att hans arbete för det ryska konsulatets och den tillfälligt här verksamma ryska handelsdelegationens räkning ej kan betraktas som fast tjänstemannaställning — ”fastmera har hans ifrågavarande arbete karaktären av en utövning av hans eget yrke såsom mycket anlitad tolk mellan ryska och svenska språken”. Jag har för min del icke under behandlingen i konstitutionsutskottet och än mindre här blivit övertygad om, att man från konstitutionsutskottets majoritets sida haft rätt att göra det påstående, som här gjorts. Det talas i konstitutionsutskottets memorial visserligen om, att han ”sedan mars 1920 anlitats av det under herr Fredrik Ströms ledning ställda ryska s. k. konsulatet i Stockholm, där han en tid dagligen varit sysselsatt 4 å 5 timmar huvudsakligen med översättningar, maskinskrivning och tjänstgöring som tolk mot en minimiavlöning av 500 kronor i månaden”. Det står, att han varit anställd å ”det under herr Fredrik Ströms ledning ställda ryska s. k. konsulatet i Stockholm”. Ja, det är tydligen intet konsulat, eftersom konstitutionsutskottet kallar det för ett</w:t>
        <w:br/>
        <w:br/>
        <w:t>och f. d. svensk riksdagsman till på köpet. Det tycks emellertid härska olika uppfattningar om vad det är. På sidan 9 står det ”ryska s. k. konsulatet”, på sidan 11 det ”s. k. ryska konsulatet”, alltså är det intet direkt ryskt konsulat utan bara ett ”s. k.” ryskt konsulat. Det står vidare här, att ”de intima förbindelser med en främmande stats representanter, som en dylik anställning medför”, leder därhän, att han inte bör bli upptagen till svensk medborgare. Jag kan för min del icke finna, att det från utskottets sida på något sätt förebragts någon bindande bevisning, att han skulle innehaft en sådan anställning hos herr Fredrik Ström eller hos den ryska handelsdelegation, som tillfälligtvis vistas här i riket, att anställningen kunde betraktas som fast. Det är nog icke bevisat och jag bestrider de från utskottets sida gjorda påståendena, då ju dessa väsentligen stödja sig på en hel del dokument, som kommit från den svenska polisen.</w:t>
        <w:br/>
        <w:br/>
        <w:t>Det har enligt handlingarna gjorts gällande från polismyndigheternas sida en hel del mer eller mindre graverande beskyllningar mot Aleksandrow, men jag måste, med den kännedom jag fått om värdet av polisrapporter i allmänhet, ställa mig ytterst tveksam gentemot deras trovärdighet. Jag tror inte, att man från utskottets eller riksdagens sida bör tillmäta dessa rapporter alltför stor betydelse. Jag skall tillåta mig att exemplifiera vad jag sagt med ett enda fall från ett annat ärende, som behandlats i utskottet. Det var en person, låt oss kalla honom X., som gjort en ansökan om erhållande av pass. Det inhämtades upplysningar från polisen. En landsfiskal rapporterade, att intet ofördelaktigt vore känt i X:s hemort om mannen, ”som emellertid anses vara egen till sitt sätt”. Det tillades, att han varit anställd i statskyrkans tjänst men avgått från prästämbetet — det är tydligen någonting, som polisen anser egendomligt. Han lär sedermera, anföres det, ha verkat som redaktör för en tidning i staden Y. En annan säger, att intet förekommit mot hans uppförande och att han inte visat några bolsjevistiska tendenser, men det påstås, heter det, att han varit ”mycket röd”. På grund av dessa handlingar avslogs den ansökan, som gjorts av denne herr X. Det var under den tid, då det fanns en ganska stark skuggrädsla hos den svenska regeringen gentemot Ryssland och ryska förhålianden. En sådan tror jag har kommit till uttryck också i den rapport, som finns här återgiven på sidan 10 av polisen i Stockholm. Nu ha lyckligtvis förhållandena åtminstone på högsta ort undergått en glädjande förändring. Man har övergivit denna skuggrädsla gentemot Ryssland och ryska förhållanden, och jag tror det är mycket nyttigt. Jag ser därför, herr talman, denna anmärkning mera som en gengångare av de förhållanden, som tidigare rått på högsta ort, och jag har därför icke heller för min del kunnat biträda anmärkningen. Enligt min uppfattning är ärendet av en sådan beskaffenhet, att anmälan icke bort göras från konstitutionsutskottets sida. Hade emellertid Aleksandrows ansökan avslagits av Kungl. Maj:t, hade jag icke heller i det läget funnit skäl att vara med om någon anmärkning. Jag anser med andra ord ärendet var av sådan beskaffenhet, att</w:t>
        <w:br/>
        <w:br/>
        <w:t>i vilken riktning avgörandet än utfallit, det icke bör göras till föremål Ang. viss rysk för någon anmärkning från konstitutionsutskottets sida. ran Det är beklagligt, att man i denna kammare icke kan få yrka, att NE en handling med ogillande eller gillande lägges till handlingarna. Jag medborgare. skulle för min del, därest en sådan institution funnits, yrkat att denna = (Forts.)</w:t>
      </w:r>
    </w:p>
    <w:p>
      <w:pPr>
        <w:pStyle w:val="Heading2"/>
      </w:pPr>
      <w:r>
        <w:t>4. Carl Winberg (Kilbomspartiet, man)</w:t>
      </w:r>
    </w:p>
    <w:p>
      <w:r>
        <w:rPr>
          <w:b w:val="0"/>
        </w:rPr>
        <w:t>Herr talman! Egentligen skulle man kunna säga, att det föreliggande betänkandet från konstitutionsutskottet borde vara ett för svenska folket synnerligen lugnande dokument. Detta med hänsyn till, att utskottet för att få ett enligt dess mening lämpligt antal anklagelsepunkter har nödgats sysselsätta sig med en hel del detaljfrågor av den art, att det kan allvarligt ifrågasättas, huruvida det verkligen från början varit meningen, att svenska riksdagens grundlagsvårdande utskott skall sysselsätta sig med dylika. Det har vid ett föregående tillfälle framhållits och det har även anförts här i dag, att konstitutionsutskottets granskningsarbete under senare tider alltför mycket sjunkit ner till ett sysslande med dylika detaljfrågor. Man har från utskottets sida i dag förnekat detta och icke velat gå med på, att det är någon lust att efterapa statsrevisorerna, vilka också ibland kommit in på den bogen att såsom varande nya kvastar vilja sopa bättre än det varit sopat förut. Men jag kan i alla fall, trots detta, icke värja mig från den uppfattningen, att konstitutionsutskottet genom att gå in på en massa småfrågor av den beskaffenhet, att de väl knappast borde blivit föremål för utskottets behandling, egentligen förtagit verkan av de frågor, vid vilkas granskning man kan komma dithän, att anledning till verklig anmärkning kan förefinnas.</w:t>
        <w:br/>
        <w:br/>
        <w:t>Det var en talare under debatten, som påstod, att det gick en röd tråd genom utskottets föreliggande betänkande. För det första vill jag nedlägga min bestämda gensaga mot att, om det över huvud taget går någon tråd genom utlåtandet, den är röd, men för det andra skulle jag vilja säga, att det förefaller mig, åtminstone om jag studerar den nu föredragna punkten, som om det varit ett rött skynke, som föresvävat konstitutionsutskottet, då det behandlade denna punkt. Det är den enda förklaringen till att utskottet icke allenast kommit fram till denna anmärkning, utan också till att utskottet för ett språk, en motivering av den art, att den sannerligen icke står i paritet med vad man kan wänta sig av riksdagens förnämsta utskott. Snarare hör det språket och det behandlingssättet hemma vid s. k. politiska kaffekonseljer men icke hos Sveriges riksdags konstitutionsutskott.</w:t>
        <w:br/>
        <w:br/>
        <w:t>Jag är nu i den lyckliga omständigheten, att om jag uppträder i denna punkt, kan väl ingen på allvar göra gällande, att jag har vare sig rätt eller skyldighet att uppträda som regeringens advokat. Jag har, som sagt, icke någon skyldighet därtill och knappast någon rätt heller. Jag skulle heller inte uppträtt enbart av den anledningen, att utskottet kommit fram till en anmärkning, utan det är snarare på grund av den motivering det anfört och det sätt, varpå det behandlat detta ärende. Det</w:t>
        <w:br/>
        <w:br/>
        <w:t>Ang. viss rysk är detta som gjort, att jag ansett mig böra taga avstånd från ett sådant</w:t>
        <w:br/>
        <w:br/>
        <w:t>sätt att behandla frågor. Jag skall icke ingå på en del av de detaljer, som här talats om och som herr statsrådet, så vitt jag förstår, mycket tydligt utlagt, då han motiverat varför regeringen intagit den ståndpunkt den gjort. Jag vill bara erinra om en sak, då man nu från utskottets sida så starkt håller på, att personen i fråga var rysk medborgare. Varför var han detta? Jo, därför att Finland vid en viss tidpunkt kom under Ryssland. Hade så icke varit fallet, så hade personen varit finsk medborgare och då hade saken naturligtvis av utskottet tagits från en helt annan synpunkt. Jag vill visst inte förneka, att han rent formellt var rysk medborgare, men det synes mig märkvärdigt, att svenska konstitutionsutskottet så ofantligt starkt trycker på just det momentet.</w:t>
        <w:br/>
        <w:br/>
        <w:t>Det är en del andra saker, som jag även skulle vilja säga ett par ord om. Den föregående talaren pekade just på en sak, som jag för min del fann synnerligen anmärkningsvärd i konstitutionsutskottets betänkande, och det var uttrycket ”under herr Fredrik Ströms ledning ställda s. k. ryska konsulatet”. Vad är nu i all rimlighets namn detta för språk: det s. k. ryska konsulatet? Må vara, att man rent formalistiskt möjligen kan hava alldeles rätt, så gripes man i alla fall av en viss beklämning, då man läser detta och samtidigt tycker sig se leendet över konstitutionsutskottsledamöternas anleten, då de tala om ”det s. k. ryska konsulatet”. Mina herrar ledamöter av konstitutionsutskottet! Om vi för ett ögonblick icke lägga huvudvikten vid den rent formalistiska sidan av saken utan också se till den reella, så är detta i alla fall sedan åtskilliga år tillbaka det ryska rikets konsulat och representation här i landet, och det förefaller mig, som om detta konsulat skulle hava större reell rätt att benämnas konsulat än det, som i våra officiella publikationer, telefonkatalogen m. m., skriver sig såsom det ryska konsultatet och den ryska legationen på Hantverkaregatan, en institution, som under snart fem år icke haft det bittersta att göra med de ryska intressena här i landet, men det oaktat fortfarande får kalla sig den ryska legationen, under det att den institution, som praktiskt taget i alla fall fyller den uppgiften, av den svenska riksdagens konstitutionsutskott kallas det ”s. k. ryska konsulatet”. Det är ett dylikt uttryckssätt, som enligt min mening framför allt i dessa tider egentligen icke borde få framkomma från den svenska riksdagens grundlagsvårdande utskott. Man kan icke värja sig för den tanken, att när man hör eller ser sådana uttalanden, så tycker man alldeles som den föregående talaren sade, att det är reminiscenser från gångna tider, då det stolta Sverige talade om Ryssland, och man tycker sig se, huru konstitutionsutskottets ledamöter hålla på med att prova Karl XII:s stövlar. Det är på tiden att lägga bort detta, ty de fasonerna passa icke i dessa tider.</w:t>
        <w:br/>
        <w:br/>
        <w:t>Men det är också en hel del andra saker, som förekommit och som enligt min mening äro särskilt anmärkningsvärda. För det första måste jag säga, att jag starkt drager i tvivelsmål, huruvida det varit nödvändigt för frågans sakliga behandling och huruvida det framför allt varit lämpligt att på ett sätt och i en sådan utsträckning, som i utskottets ut-</w:t>
        <w:br/>
        <w:br/>
        <w:t xml:space="preserve">låtande förekommer, ge sig in på ifrågavarande persons rent privata sings plug rysk familjeangelägenheter, hans äktenskap och huru det förflutit, dess uppupplägande lösning och allt sådant. Detta är väl ändå saker, som man icke gärna pj svensk brukar taga upp till behandling i aktstycken sådana som dessa, och det medborgare. förvånar mig, att konstitutionsutskottets majoritet för att komplettera (Forts.) sin exempelsamling i detta avseende icke meddelat, att den svenska </w:t>
      </w:r>
      <w:r>
        <w:rPr>
          <w:b/>
        </w:rPr>
        <w:t>kvinna¹</w:t>
      </w:r>
      <w:r>
        <w:rPr>
          <w:b w:val="0"/>
        </w:rPr>
        <w:t>, som personen i fråga var gift med, strax efter äktenskapets upplösning ingick giftermål med en icke alldeles okänd litterär person här i landet. Det borde också hava varit en viktig upplysning för den svenska allmänheten. Nej, dylika saker förefalla mig ligga vid sidan om ämnet och borde lämnas åsido. Men framför allt måste jag rikta mig mot den heder och värdighet av konstitutionell institution, som man här tillmätt polisen såsom sådan och alldeles särskilt tredje polisintendenten. Det är ett faktum, som framgår av handlingarna och av herr statsrådets uppgifter, att alla personer, som varit i tillfälle att taga kännedom om Aleksandrows verksamhet, liv och leverne här i landet, överallt undantagslöst vitsordat detta hans leverne och hans duglighet. Men då konstitutionsutskottet finner, att konungens befallningshavande i Uppsala län och överståthållarämbetet — det senare på grund av polisens och tredje polisintendentens utlåtande — avstyrkt, att svenskt medborgarskap borde medgivas åt ifrågavarande person, så kommer utskottet till den uppfattningen, att Kungl. Maj:t under sådana förhållanden icke bort medgiva honom svensk medborgarrätt. Nu vill jag verkligen fråga herrar ledamöter av konstitutionsutskottet, vilken deras ställning i detta avseende är? Är det verkligen så, att Kungl. Maj:t i sina handlingar i sådana frågor som denna är bunden av att ett par myndigheter avgivit avstyrkande utlåtanden, även om båda dessa myndigheter brista, då det är fråga om att framlägga skäl och bevisning eller motiv, varför de intaga en sådan avstyrkande ställning. Om man vill göra gällande detta, vill man därmed degradera Kungl. Maj:t till att endast bliva en underordnad instans under dessa myndigheter, som egentligen skola lyda under Kungl. Maj:t. Detta förefaller mig vara en ganska farlig konsekvens, en konsekvens, som sannerligen icke står i överensstämmelse med grundlagens föreskrifter. Framför allt är det nu emellertid tredje polisintendentens uttalanden i denna fråga, som äro ganska anmärkningsvärda, och i detta avseende tror jag, att den föregående talaren hade mycket rätt i vad han sade. Han gjorde nämligen gällande, att för så vitt icke uttrycket ”kommunist” förekommit i handlingarna, vore det hans uppfattning, att utskottet icke skulle hava framkommit med denna anmärkning. Man får också ovillkorligen den uppfattningen, då man läser igenom handlingarna och ser, vilken betydelse man tillmätt det utlåtande, som är avgivet av tredje polisintendenten, trots det att även denne måst konstatera, att ingenting förekommit från Aleksandrows sida, som varit av sådan beskaffenhet, att det kommit i konflikt med gällande ordningsföreskrifter här i landet. Men polisintendenten säger, att han misstänkes för att hava ganska intima förbindelser med kommunister och den ryska han-</w:t>
        <w:br/>
        <w:br/>
        <w:t>punkten! Det är polisens vanliga sätt att ingenting bevisa utan endast hava mer eller mindre klart för sig, att den eller den personen är</w:t>
        <w:br/>
        <w:br/>
        <w:t>medborgare. Misstänkt. Jag har mig bekant, att detta sedan länge är polisens sätt</w:t>
        <w:br/>
        <w:br/>
        <w:t>att gå tillväga, och jag kan förstå det från polisens sida, därför att den måste vara misstänksam och se allt i misstänksamhetens tecken. Men jag undrar om det är klokt och konstitutionsutskottet värdigt att på dylika obevisade misstankar, egentligen bygga de huvudsakliga slutledningar, som utskottet kommit till i denna punkt. När har det egentligen blivit grundlagsenligt här i Sverige att i sådana frågor tillmäta en sådan avgörande betydelse åt utlåtande av polisen, vilka utlåtanden i i alla fall utmynna i, att man ingenting kan bevisa utan endast misstänker, att personen i fråga visat sig hava vissa förbindelser. Särskilt då det från många håll i dessa tider talats om nödvändigheten av att se till, att man får en avspänning av de förhållanden, som råda överallt i världen, skulle det vara skäl att anlägga litet mera praktiska synpunkter och därigenom söka möjliggöra för de olika folken att komma i förbindelse med och till förståelse för varandra. Särskilt med dessa uttalanden från olika politiska partier såsom bakgrund förefaller det mig verkligen, som om konstitutionsutskottets uppträdande och uttalanden nu gå i en alldeles motsatt riktning. Det är ett utlåtande, som alltför mycket ger helgd åt det polisförfarande, som man här i landet är så van vid. Men man hade icke väntat sig att detta på ett dylikt sätt skulle omhuldas och upptagas såsom en avgörande faktor, när konstitutionsutskottet skall gå att verkställa sin granskning av vad i riket förekommit under en viss tid.</w:t>
        <w:br/>
        <w:br/>
        <w:t>Ja, det skulle vara en hel del att tillägga här, men jag tror, att det är alldeles tillräckligt att som avslutning koncentrera sig på den punkten, att yrkandet i konstitutionsutskottets utlåtande i denna punkt i en alldeles pregnant grad visar, vad den uppdrivna partifanatismen kan leda till vid behandlingen av rätt så obetydliga frågor. Ty det är väl, som det framhölls i en tidning, så, att utskottets utlåtande i denna punkt visar, att den nuvarande regeringen icke har parlamentariskt underlag, vilket med andra ord vill säga, att om det varit så, att någotdera av de två eller tre partier, som varit med om att bilda utskottsmajoriteten, varit på något sätt engagerat i regeringsansvaret, skulle det aldrig hava fallit dem in att på en punkt som denna komma fram med denna anmälan. Jag tror, att tidningen i fråga hade alldeles rätt med den uttolkning, som jag har gjort, men om det är så, betyder denna anmärkning ingenting. Den blottar endast det rent partipolitiska spelet inom representantförsamlingen, att det är detta spel som i många fall är den avgörande faktorn, då det gäller att taga ståndpunkt till en fråga som denna.</w:t>
        <w:br/>
        <w:br/>
        <w:t>För min del är jag — och det har jag framhållit förut — av den åsikten, att det nuvarande tillvägagångssättet inom riksdagens olika kamrar vid behandlingen av konstitutionsutskottets dechargebetänkande är någonting ohållbart. Det måste klarläggas förr eller senare. Är</w:t>
        <w:br/>
        <w:br/>
        <w:t>det så, att andra kammarens praxis är grundlagsstridig, bör den icke Ang. viss rysk få fortsätta. Är det återigen så, att denna praxis för andra kammarens söblorende vidkommande står i överensstämmelse med grundlagarna, då är det all- ;;:u svensk deles självfallet, att samma rätt bör förefinnas för första kammaren. medborgare. Det är samma riksdagsordning och samma grundlagar i övrigt, som äro = (Forts.) de grundläggande dokumenten för båda kamrarnas arbete och handlingssätt. Under sådana förhållanden är det min principiella uppfattning, att denna sak måste klarläggas, så att denna dualism icke får fortsätta i längden. Det måste bliva klart, vilketdera sättet som är det riktiga. Alldeles särskilt med hänsyn till den nu föredragna punkten anser jag det vara av en särskild betydelse, att riksdagen säger ifrån, att den icke kan ställa sig bakom en anmärkning, byggd på en sådan motivering, som utskottet här har anfört, därför att detta sannerligen icke skulle lända till rikets sannskyldiga nytta. Man har här i debatten talat om att huvudvikten skulle läggas vid rikets sannskyldiga nytta. Framför allt var det professor Reuterskiöld, som höll före, att så borde ske. Då skulle jag vilja säga, att även av hans anförande och ännu mera av utskottets utlåtande i denna punkt framgår, att man vid bedömandet av denna sak ser den så enkelt, att det för professor Reuterskiöld och troligtvis för hela utskottsmajoriteten står fullkomligt klart, att rikets sannskyldiga nytta aldrig kan medgiva, att en person med mer eller mindre utpräglad kommunistisk uppfattning kan få vinna svenskt medborgarskap. Om man lägger saken så enkelt, förstår jag det, men jag måste säga, att det är ett alltför enkelt sätt att klargöra, vad som kan vara till rikets sannskyldiga nytta eller ej. Med hänsyn till det sätt, varpå man tagit på denna fråga i konstitutionsutskottet, anser jag sålunda, att det här skulle vara alldeles nödvändigt även för denna kammare att säga ifrån, att den icke utan vidare på de bristande motiv, som här föreligga icke kan ställa sig bakom ett sådant uttalande. Även om jag säkerligen har rätt, då jag utgår ifrån, att vederbörande statsråd och de personer, som det här närmast gäller, skulle taga en dylik anmärkning från utskottets sida med jämförelsevis stort lugn — ty värre är icke saken — anser jag verkligen för riksdagens eget anseendes skull, att den skulle vara bäst betjänt med att säga ifrån, att den icke står bakom detta uttalande. Då enda möjligheten att åstadkomma någonting sådant ligger i att framställa ett yrkande om att ifrågavarande punkt av konstitutionsutskottets utlåtande nr 22 med ogillande lägges till handlingarna, kommer jag att framställa ett sådant yrkande. Jag vet visserligen, att denna kammares talman har den uppfattningen, att ett sådant yrkande icke kan föranleda proposition, och det blir en fråga, vartill vi sedan återkomma. På grund av vad jag sålunda anfört får jag, herr talman, hemställa, att punkt 2 av konstitutionsutskottets memorial nr 22 måtte av denna kammare med ogillande läggas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