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1587</w:t>
      </w:r>
    </w:p>
    <w:p>
      <w:r>
        <w:rPr>
          <w:b/>
        </w:rPr>
        <w:t xml:space="preserve">Datum: </w:t>
      </w:r>
      <w:r>
        <w:t>1923-02-15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Linders (Socialdemokraterna, man)</w:t>
      </w:r>
    </w:p>
    <w:p>
      <w:r>
        <w:rPr>
          <w:b w:val="0"/>
        </w:rPr>
        <w:t xml:space="preserve">Det tillkommer förmyndaren eller barnet självt om det är myndigt bestämma om det skall bära </w:t>
      </w:r>
      <w:r>
        <w:rPr>
          <w:b/>
        </w:rPr>
        <w:t>moderns²</w:t>
      </w:r>
      <w:r>
        <w:rPr>
          <w:b w:val="0"/>
        </w:rPr>
        <w:t xml:space="preserve"> eller faderns släktnamn. Har barnet fyllt 18 år må ej förmyndaren utan dess samtycke träffa ptanmelis som nu är sagt. Samma lag gäller även om trolovnings-</w:t>
      </w:r>
    </w:p>
    <w:p>
      <w:pPr>
        <w:pStyle w:val="Heading2"/>
      </w:pPr>
      <w:r>
        <w:t>2. Carl Boden (–, man)</w:t>
      </w:r>
    </w:p>
    <w:p>
      <w:r>
        <w:rPr>
          <w:b w:val="0"/>
        </w:rPr>
        <w:t>Herr talman! Då det är praktiskt omöjligt att yrka bifall till min motion, kan jag endast uttala mitt beklagande av att det skall dröja så lång tid att få denna fråga utredd. Jag får således inskränka mig till att yrka bifall till den vid utskottsbetänkandet fogade reservationen.</w:t>
      </w:r>
    </w:p>
    <w:p>
      <w:pPr>
        <w:pStyle w:val="Heading2"/>
      </w:pPr>
      <w:r>
        <w:t>3. Agda Östlund (Socialdemokraterna, woman)</w:t>
      </w:r>
    </w:p>
    <w:p>
      <w:r>
        <w:rPr>
          <w:b w:val="0"/>
        </w:rPr>
        <w:t xml:space="preserve">Herr talman! Jag skall endast med ett par ord uppehålla mig vid den ifrågavarande motionen. Det var vetskapen om att denna fråga möjligen skulle återkomma i ett annat sammanhang, att den så att säga vore bordlagd, som gjort, att vi </w:t>
      </w:r>
      <w:r>
        <w:rPr>
          <w:b/>
        </w:rPr>
        <w:t>kvinnor¹</w:t>
      </w:r>
      <w:r>
        <w:rPr>
          <w:b w:val="0"/>
        </w:rPr>
        <w:t xml:space="preserve"> icke väckt en motion i denna fråga. Det är ju också detta, som utskottet stöder sitt avslagsyrkande på, och som gör, att även vi velat se tiden an. När den emellertid ändå kommit före, kan jag icke underlåta att göra ett par erinrtingar.</w:t>
        <w:br/>
        <w:br/>
        <w:t xml:space="preserve">Den, som under de senare åren följt den sociala lagstiftningen i hithörande spörsmål, kan naturligtvis icke annat än tacksamt erkänna de reformer, som genomförts. Jag kan emellertid icke riktigt gå med på motionärens motivering för sitt förslag, då han talar om att utomäktenskapliga föräldrar satt en fläck på sin heder, som de i de flesta fall få behålla, åtminstone modern. Vår tid är något barmhärtigare 1 detta fall än den gamla tiden. Vi hävda </w:t>
      </w:r>
      <w:r>
        <w:rPr>
          <w:b/>
        </w:rPr>
        <w:t>moderns²</w:t>
      </w:r>
      <w:r>
        <w:rPr>
          <w:b w:val="0"/>
        </w:rPr>
        <w:t xml:space="preserve"> rätt till sitt barn, och vi hävda </w:t>
      </w:r>
      <w:r>
        <w:rPr>
          <w:b/>
        </w:rPr>
        <w:t>hennes²</w:t>
      </w:r>
      <w:r>
        <w:rPr>
          <w:b w:val="0"/>
        </w:rPr>
        <w:t xml:space="preserve"> rätt till att få behålla och fostra barnet, likaväl som vi hävda barnets rätt till sin </w:t>
      </w:r>
      <w:r>
        <w:rPr>
          <w:b/>
        </w:rPr>
        <w:t>moder²</w:t>
      </w:r>
      <w:r>
        <w:rPr>
          <w:b w:val="0"/>
        </w:rPr>
        <w:t>. Det är emellertid nog strängt taget i allmänhet icke hedern, som det gäller att skydda, när en barnafader drar sig undan, utan fastmer gäller det att rädda börsen.</w:t>
        <w:br/>
        <w:br/>
        <w:t>Varför jag begärde ordet var egentligen på grund av utskottets motivering. Den är så pass dyrbar, att den icke bör förbigås med tystnad, till den kraft och verkan, det hava kan. Jag skall icke gå längre tillbaka än utskottet fört oss, då utskottet utgår ifrån 1734 års lagstiftning. Sedan ledsagar utskottet oss fram till 1866 års, till 1905 års och till 1917 års lagar. Alltså 189 år ha vi haft att göra för att komma fram till nuvarande lagstiftning, när det gäller barn utom äktenskapet. Det är detta, som jag tycker vara så anmärkningsvärt. Av modern ha vi krävt det moraliska ansvaret att er-</w:t>
        <w:br/>
        <w:br/>
        <w:t xml:space="preserve">känna sitt barn. På </w:t>
      </w:r>
      <w:r>
        <w:rPr>
          <w:b/>
        </w:rPr>
        <w:t>henne²</w:t>
      </w:r>
      <w:r>
        <w:rPr>
          <w:b w:val="0"/>
        </w:rPr>
        <w:t xml:space="preserve"> ha vi ytterst, såsom motionären mycket riktigt sagt; låtit det ekonomiska ansvaret vila... När vi nu kanske få hoppas, såsom utskottet tar för givet, att i sinom tid en utredning blir färdig och eventuellt förslag framlagt, det då skall visa sig, att utvecklingen fört oss så långt att vi våga kräva att även en barnafader har mod erkänna sitt barn.</w:t>
        <w:br/>
        <w:br/>
        <w:t>Det är med anledning härav, som jag skulle önskat andra kammaren nu kunnat stödja, såsom reservanten säger, motionens syfte genom att uttala sig i enlighet med reservationen.</w:t>
      </w:r>
    </w:p>
    <w:p>
      <w:pPr>
        <w:pStyle w:val="Heading2"/>
      </w:pPr>
      <w:r>
        <w:t>4. Carl Boden (–, man)</w:t>
      </w:r>
    </w:p>
    <w:p>
      <w:r>
        <w:rPr>
          <w:b w:val="0"/>
        </w:rPr>
        <w:t>Herr talman! På grund av de upplysningar, som Jag erhållit, får jag avstå från mitt yrkande.</w:t>
      </w:r>
    </w:p>
    <w:p>
      <w:pPr>
        <w:pStyle w:val="Heading2"/>
      </w:pPr>
      <w:r>
        <w:t>5. Jakob Pettersson (Liberala riksdagspartiet, man)</w:t>
      </w:r>
    </w:p>
    <w:p>
      <w:r>
        <w:rPr>
          <w:b w:val="0"/>
        </w:rPr>
        <w:t xml:space="preserve">Herr talman, mina damer och herrar! </w:t>
      </w:r>
      <w:r>
        <w:rPr>
          <w:b/>
        </w:rPr>
        <w:t>Fru²</w:t>
      </w:r>
      <w:r>
        <w:rPr>
          <w:b w:val="0"/>
        </w:rPr>
        <w:t xml:space="preserve"> Östlund yttrade i sitt varmhjärtade anförande den meningen, att det icke skadat, om utskottet uttalat sig litet mera varmt eller mera direkt för motionärens yrkande. Jag får för min del säga, att jag sympatiserar med den mening, </w:t>
      </w:r>
      <w:r>
        <w:rPr>
          <w:b/>
        </w:rPr>
        <w:t>fru²</w:t>
      </w:r>
      <w:r>
        <w:rPr>
          <w:b w:val="0"/>
        </w:rPr>
        <w:t xml:space="preserve"> Östlund uttalat. Jag har, när denna fråga var före år 1917, arbetat rätt mycket för att andra kammaren skulle bestämt uttala sig i den riktning, som nu motionen går. Det gjorde också andra kammaren år 1917.</w:t>
        <w:br/>
        <w:br/>
        <w:t xml:space="preserve">Jag vill slutligen säga, att inom utskottet ingalunda saknats de, som fullkomligt överensstämde med </w:t>
      </w:r>
      <w:r>
        <w:rPr>
          <w:b/>
        </w:rPr>
        <w:t>fru²</w:t>
      </w:r>
      <w:r>
        <w:rPr>
          <w:b w:val="0"/>
        </w:rPr>
        <w:t xml:space="preserve"> Östlund i </w:t>
      </w:r>
      <w:r>
        <w:rPr>
          <w:b/>
        </w:rPr>
        <w:t>hennes²</w:t>
      </w:r>
      <w:r>
        <w:rPr>
          <w:b w:val="0"/>
        </w:rPr>
        <w:t xml:space="preserve"> uttalanden. Såsom saken nu låg, och då inom utskottet personer funnos, som hade olika meningar, ansåg emellertid utskottet, att man gagnade saken bäst med att hänvisa till den utredning, som på riksdagens begäran igångsatts, och att uttala den förvissningen, att denna utredning skulle lända till ett gott resultat. Jag tror, att vi, som vilja ha en ändring och en reform, kunna tillsvidare vara nöjda härmed. Saken är med detta icke slutbehandlad.</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