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445</w:t>
      </w:r>
    </w:p>
    <w:p>
      <w:r>
        <w:rPr>
          <w:b/>
        </w:rPr>
        <w:t xml:space="preserve">Datum: </w:t>
      </w:r>
      <w:r>
        <w:t>1923-02-17</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Assar Åkerman (Socialdemokraterna, man)</w:t>
      </w:r>
    </w:p>
    <w:p>
      <w:r>
        <w:rPr>
          <w:b w:val="0"/>
        </w:rPr>
        <w:t xml:space="preserve">»$ 1. Barn utom äktenskapet erhåller </w:t>
      </w:r>
      <w:r>
        <w:rPr>
          <w:b/>
        </w:rPr>
        <w:t>moderns²</w:t>
      </w:r>
      <w:r>
        <w:rPr>
          <w:b w:val="0"/>
        </w:rPr>
        <w:t xml:space="preserve"> eller faderns släktnamn. Det tillkommer förmyndaren eller barnet självt om det är myndigt bestämma om det skall bära </w:t>
      </w:r>
      <w:r>
        <w:rPr>
          <w:b/>
        </w:rPr>
        <w:t>moderns²</w:t>
      </w:r>
      <w:r>
        <w:rPr>
          <w:b w:val="0"/>
        </w:rPr>
        <w:t xml:space="preserve"> eller faderns släktnamn. Har barnet fyllt 18 år må ej förmyndaren utan dess samtycke träffa bestämmelse som nu är sagt. Samma lag gäller även om trolovningsbarn.</w:t>
        <w:br/>
        <w:br/>
        <w:t xml:space="preserve">Barnet tage arv efter såväl </w:t>
      </w:r>
      <w:r>
        <w:rPr>
          <w:b/>
        </w:rPr>
        <w:t>moder²</w:t>
      </w:r>
      <w:r>
        <w:rPr>
          <w:b w:val="0"/>
        </w:rPr>
        <w:t xml:space="preserve"> som mödernefrändes som efter fader och fädernefrändes och ärves av dessa som vore de av äktenskaplig börd. Lag samma vare om barnet är trolovningsbarn.&gt;</w:t>
      </w:r>
    </w:p>
    <w:p>
      <w:pPr>
        <w:pStyle w:val="Heading2"/>
      </w:pPr>
      <w:r>
        <w:t>2. Ulrik Leander (Frisinnade folkpartiet, man)</w:t>
      </w:r>
    </w:p>
    <w:p>
      <w:r>
        <w:rPr>
          <w:b w:val="0"/>
        </w:rPr>
        <w:t>Herr greve och talman! Föreliggande fråga har förut varit uppe i riksdagen senast 1917. I samband med en av Kungl. Maj :t nämnda år till riksdagen avlåten proposition med förslag till lag om barn utom äktenskap m. m. väcktes av herrar Hellberg och Jacob Larsson i denna kammare samt herr Pettersson i Södertälje m. fl. i andra kammaren motioner, i vilka hemställdes, att barn utom äktenskap skulle tillerkännas rätt att erhålla faderns släktnamn och att få ärva fader och fädernefränder, vilka jämväl skulle få arvsrätt efter barnen. I sitt över nämnda kungl. proposition och motioner avgivna utlåtande sade lagutskottet, att det icke kunde anses överensstämma med sund rättsuppfattning att låta utom äktenskapet födda barn utsättas för lidanden såsom straff för föräldrarnes fel. Vidare medgav utskottet, att det särskilt i en ny lagstiftning borde vara angeläget att inskärpa föräldrarnes plikt mot barnen samt skapa en garanti för, att dessa förpliktelser också verkligen bleve uppfyllda. Utskottet vågade dock icke taga steget fullt ut och tillstyrka motionerna utan avstyrkte dem i stället. Inom lagutskottet reserverade sig emellertid herr Jakob Pettersson i Södertälje m. fl. till förmån för motionerna. Andra kammaren biföll med stark</w:t>
        <w:br/>
        <w:br/>
        <w:t>majoritet denna reservation, under det att denna kammare ställde sig på utskottets sida. Även i andra punkter stannade kamrarna i olika beslut, och vid den sammanjämkning, som med anledning därav företogs av lagutskottet, måste andra kammaren frångå sin ståndpunkt och i stället förorda en skrivelse till Kungl. Maj:t med hemställan om en förutsättningslös utredning i ämnet. Denna skrivelse blev sedan av riksdagen avlåten.</w:t>
        <w:br/>
        <w:br/>
        <w:t>Såsom skäl för avslag å den nu föreliggande motionen åberopar lagutskottet den pågående utredningen, och härutinnan kan jag instämma med utskottet. Men det måste i alla fall väcka någon förvåning, att de ärade ledamöter av utskottet, som år 1917 väckte dessa mycket väl motiverade motioner, icke aktat nödigt att med ett enda ord angiva, att de stå kvar på samma ståndpunkt som år 1917. Den, som läst deras motioner av år 1917 och de varmhjärtade anföranden, som de då höllo till förmån för det i motionerna framställda förslaget, att barn utom äktenskap skulle tillerkännas arvsrätt även efter fader och fädernefränder, och sett deras namn under det nu föreliggande betänkandet, frestas lätt att få den uppfattningen, att de ärade motionärerna från år 1917 i någon mån ändrat ståndpunkt.</w:t>
        <w:br/>
        <w:br/>
        <w:t xml:space="preserve">För min del har jag icke kunnat låta detta tillfälle gå förbi utan att uttala en varm sympati för motionens syfte, även om jag av nämnt skäl och andra också icke anser mig kunna yrka bifall till motionen. Lagtexten är icke sådan, att detta för mig är möjligt. Barn utom äktenskap ha, enligt min mening, lika väl som s. k. äkta barn, en oförytterlig rätt att äga icke blott </w:t>
      </w:r>
      <w:r>
        <w:rPr>
          <w:b/>
        </w:rPr>
        <w:t>moder²</w:t>
      </w:r>
      <w:r>
        <w:rPr>
          <w:b w:val="0"/>
        </w:rPr>
        <w:t xml:space="preserve"> utan även fader med därav följande konsekvenser. Jag har sett allt för många utom äktenskapet födda barns olyckliga öde, för att jag icke skulle ställa mig i första ledet bland dem, som söka hävda dessa barns rätt.</w:t>
        <w:br/>
        <w:br/>
        <w:t>Nu vet jag mycket väl, att det icke skulle tjäna någonting till, att jag såsom ensam reservant framställde något yrkande i strid mot utskottets hemställan, och jag nöjer mig därför med att endast tillkännagiva min mening uti föreliggande fråga. Jag hoppas i allt fall, att utom äktenskapet födda barn en gång skola helt och fullt bli tillerkända den rätt, som jag anser bör tillkomma dem.</w:t>
        <w:br/>
        <w:br/>
        <w:t>För närvarande har jag alltså, herr greve och talman, intet yrkande att göra.</w:t>
      </w:r>
    </w:p>
    <w:p>
      <w:pPr>
        <w:pStyle w:val="Heading2"/>
      </w:pPr>
      <w:r>
        <w:t>3. Kerstin Hesselgren (Folkpartiet, woman)</w:t>
      </w:r>
    </w:p>
    <w:p>
      <w:r>
        <w:rPr>
          <w:b w:val="0"/>
        </w:rPr>
        <w:t>Jag skall bara be att få instämma uti vad den föregående ärade talaren anfört. Man borde, synes det mig, nu kommit så långt i sin uppfattning om utom äktenskap födda barns rätt, att man funne tiden vara mogen att på allvar taga upp hela denna fråga. Jag beklagar, att det i utskottets utlåtande icke kommit starkare till uttryck utskottets sympatier för, att man nu verkligen borde taga saken om hand och företaga åtgärder, som kunde leda till lösning av frågan i den riktning, motionären önskar. Jag kan icke uttala mig om lagtexten och de krav, som där framställts till frågans lösning; det är för själva principen, som jag vill uttala mina sympatier. Lika med den</w:t>
        <w:br/>
        <w:br/>
        <w:t>föregående ärade talaren vill jag icke framställa något yrkande utan bara göra ett sympatiuttalande för motionens syfte.</w:t>
      </w:r>
    </w:p>
    <w:p>
      <w:pPr>
        <w:pStyle w:val="Heading2"/>
      </w:pPr>
      <w:r>
        <w:t>4. Ernst Klefbeck (Socialdemokraterna, man)</w:t>
      </w:r>
    </w:p>
    <w:p>
      <w:r>
        <w:rPr>
          <w:b w:val="0"/>
        </w:rPr>
        <w:t xml:space="preserve">Herr talman! Då </w:t>
      </w:r>
      <w:r>
        <w:rPr>
          <w:b/>
        </w:rPr>
        <w:t>fröken²</w:t>
      </w:r>
      <w:r>
        <w:rPr>
          <w:b w:val="0"/>
        </w:rPr>
        <w:t xml:space="preserve"> Hesselgren undrade över, att det i första lagutskottets förevarande utlåtande ej förekommer något sympatiuttalande till förmån för motionens syfte, kan jag väl förstå </w:t>
      </w:r>
      <w:r>
        <w:rPr>
          <w:b/>
        </w:rPr>
        <w:t>henne²</w:t>
      </w:r>
      <w:r>
        <w:rPr>
          <w:b w:val="0"/>
        </w:rPr>
        <w:t>. Men då herr Leander uttalade sin förvåning över, att de ledamöter av utskottet, som år 1917 väckte motion i denna fråga, icke aktat nödigt att med ett enda ord angiva, att de stode kvar på samma ståndpunkt som år 1917, och tillade, att man vore frestad att tro, att de i någon mån ändrat ståndpunkt, så kan jag icke förstå detta. Under frågans behandling i utskottet fick herr Leander från de gamla anhängarna av saken upprepade gånger och i de mest kraftiga ordalag försäkran om, att de fortfarande stode kvar på sin förut intagna ståndpunkt och att utskottets utlåtande under inga förhållanden finge tolkas så, att de skulle hava ändrat uppfattning. Då riksdagen redan skrivit i frågan och då det vidare kommit så långt, att man under den närmaste tiden kan vänta förslag i ämnet, ansågo vi det icke nödigt att nu göra något annat än att påpeka detta. För övrigt ansågo vi, att, då vår ståndpunkt i denna mycket viktiga fråga blivit klarlagd så nyligen, vi borde kunna göra anspråk på att få betraktas såsom så pass karlar, att vi icke ändrat mening. Jag och mina kamrater hysa lika varmt intresse för saken nu som förut, men vi ha icke ansett oss behöva tala om det riksdag efter riksdag.</w:t>
        <w:br/>
        <w:br/>
        <w:t>Jag ber att få yrka bifall till utskottets betänkande.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445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